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后湖山野屋 · 游味烧鸟 项目交付包</w:t>
      </w:r>
    </w:p>
    <w:p>
      <w:r>
        <w:rPr>
          <w:rFonts w:ascii="Calibri" w:hAnsi="Calibri" w:eastAsia="Microsoft YaHei" w:cs="Calibri"/>
        </w:rPr>
        <w:t>本资料包整理自项目对话中最后确认的方案逻辑。</w:t>
      </w:r>
    </w:p>
    <w:p>
      <w:pPr>
        <w:pStyle w:val="Heading2"/>
      </w:pPr>
      <w:r>
        <w:rPr>
          <w:rFonts w:ascii="Calibri" w:hAnsi="Calibri" w:eastAsia="Microsoft YaHei" w:cs="Calibri"/>
        </w:rPr>
        <w:t>核心方案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外部：临湖木屋、暖光、植物、开放感。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正面：左侧花坛与吧台，中部沙发休闲区，右侧展示冰箱与半开放入口。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内部板前：客人 → 板前/岛台 → 操作通道 → 师傅背影 → 烧鸟炉 → 后墙设备/酒柜。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品牌：不是传统日式居酒屋，而是“湖畔 × 木构 × 炭火 × 夜晚 × 长沙”。</w:t>
      </w:r>
    </w:p>
    <w:p>
      <w:pPr>
        <w:pStyle w:val="Heading2"/>
      </w:pPr>
      <w:r>
        <w:rPr>
          <w:rFonts w:ascii="Calibri" w:hAnsi="Calibri" w:eastAsia="Microsoft YaHei" w:cs="Calibri"/>
        </w:rPr>
        <w:t>图片状态</w:t>
      </w:r>
    </w:p>
    <w:p>
      <w:r>
        <w:rPr>
          <w:rFonts w:ascii="Calibri" w:hAnsi="Calibri" w:eastAsia="Microsoft YaHei" w:cs="Calibri"/>
        </w:rPr>
        <w:t xml:space="preserve">原ChatGPT对话中的图片附件无法从文本记录自动导出，因此图片目录已建立但留空。请将下载的最终图片按《图片说明》中的文件名放入 </w:t>
      </w:r>
      <w:r>
        <w:rPr>
          <w:rFonts w:ascii="Consolas" w:hAnsi="Consolas" w:eastAsia="DengXian" w:cs="Consolas"/>
          <w:color w:val="374151"/>
          <w:sz w:val="20"/>
          <w:shd w:fill="F3F4F6"/>
        </w:rPr>
        <w:t>02_空间效果图/01_最终效果图_待放入/</w:t>
      </w:r>
      <w:r>
        <w:rPr>
          <w:rFonts w:ascii="Calibri" w:hAnsi="Calibri" w:eastAsia="Microsoft YaHei" w:cs="Calibri"/>
        </w:rPr>
        <w:t>。早期空间逻辑错误的图片不要纳入最终交付。</w:t>
      </w:r>
    </w:p>
    <w:p>
      <w:pPr>
        <w:pStyle w:val="Heading2"/>
      </w:pPr>
      <w:r>
        <w:rPr>
          <w:rFonts w:ascii="Calibri" w:hAnsi="Calibri" w:eastAsia="Microsoft YaHei" w:cs="Calibri"/>
        </w:rPr>
        <w:t>建议阅读顺序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00_项目总览/后湖山野屋_游味烧鸟_项目总览.docx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02_空间效果图/后湖山野屋_游味烧鸟_图片说明.docx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03_VI视觉系统/游味烧鸟_VI设计总结.docx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06_后续深化清单/下一阶段工作清单.md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