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-1136650</wp:posOffset>
                </wp:positionH>
                <wp:positionV relativeFrom="paragraph">
                  <wp:posOffset>1605280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5pt;margin-top:126.4pt;height:70.5pt;width:366.65pt;z-index:251677696;mso-width-relative:page;mso-height-relative:page;" filled="f" stroked="f" coordsize="21600,21600" o:gfxdata="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fqNfA3gAAAAwBAAAPAAAAAAAAAAEAIAAAACIAAABkcnMvZG93bnJldi54bWxQSwECFAAU&#10;AAAACACHTuJAUnlyyyQCAAAoBAAADgAAAAAAAAABACAAAAAtAQAAZHJzL2Uyb0RvYy54bWxQSwUG&#10;AAAAAAYABgBZAQAAwwU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22"/>
            <w:rPr>
              <w:b/>
              <w:color w:val="auto"/>
            </w:rPr>
          </w:pPr>
          <w:bookmarkStart w:id="0" w:name="_Toc252641603_WPSOffice_Level1"/>
        </w:p>
        <w:p>
          <w:pPr>
            <w:pStyle w:val="9"/>
            <w:tabs>
              <w:tab w:val="right" w:leader="dot" w:pos="7530"/>
            </w:tabs>
          </w:pPr>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sz w:val="21"/>
                <w:szCs w:val="21"/>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val="0"/>
                <w:bCs w:val="0"/>
                <w:color w:val="000000" w:themeColor="text1"/>
                <w:sz w:val="21"/>
                <w:szCs w:val="21"/>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351"/>
      <w:bookmarkStart w:id="4" w:name="_Toc34244511"/>
    </w:p>
    <w:p>
      <w:pPr>
        <w:pStyle w:val="2"/>
        <w:numPr>
          <w:ilvl w:val="0"/>
          <w:numId w:val="1"/>
        </w:numPr>
        <w:jc w:val="left"/>
        <w:rPr>
          <w:bCs/>
          <w:color w:val="333399"/>
          <w:kern w:val="0"/>
          <w:sz w:val="32"/>
          <w:szCs w:val="32"/>
          <w:lang w:eastAsia="en-US"/>
        </w:rPr>
      </w:pPr>
      <w:bookmarkStart w:id="5" w:name="_Toc34299369"/>
      <w:bookmarkStart w:id="6" w:name="_Toc1148343828_WPSOffice_Level1"/>
      <w:bookmarkStart w:id="7" w:name="_Toc24683"/>
      <w:bookmarkStart w:id="8" w:name="_Toc655807500_WPSOffice_Level1"/>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99370"/>
      <w:bookmarkStart w:id="10" w:name="_Toc34244512"/>
      <w:bookmarkStart w:id="11" w:name="_Toc34244352"/>
      <w:bookmarkStart w:id="12" w:name="_Toc655807500_WPSOffice_Level2"/>
      <w:bookmarkStart w:id="13" w:name="_Toc1148343828_WPSOffice_Level2"/>
      <w:bookmarkStart w:id="14" w:name="_Toc4301"/>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34244355"/>
            <w:bookmarkStart w:id="18" w:name="_Toc610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34244513"/>
      <w:bookmarkStart w:id="33" w:name="_Toc779181607_WPSOffice_Level2"/>
      <w:bookmarkStart w:id="34" w:name="_Toc1270576096_WPSOffice_Level2"/>
      <w:bookmarkStart w:id="35" w:name="_Toc34299371"/>
      <w:bookmarkStart w:id="36" w:name="_Toc2168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asciiTheme="majorEastAsia" w:hAnsiTheme="majorEastAsia" w:eastAsiaTheme="majorEastAsia" w:cstheme="majorEastAsia"/>
          <w:color w:val="000000" w:themeColor="text1"/>
          <w:sz w:val="21"/>
          <w:szCs w:val="21"/>
          <w14:textFill>
            <w14:solidFill>
              <w14:schemeClr w14:val="tx1"/>
            </w14:solidFill>
          </w14:textFill>
        </w:rPr>
      </w:pPr>
      <w:r>
        <w:rPr>
          <w:rFonts w:asciiTheme="majorEastAsia" w:hAnsiTheme="majorEastAsia" w:eastAsiaTheme="majorEastAsia" w:cstheme="majorEastAsia"/>
          <w:color w:val="000000" w:themeColor="text1"/>
          <w:sz w:val="21"/>
          <w:szCs w:val="21"/>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1507"/>
      <w:bookmarkStart w:id="38" w:name="_Toc349989443_WPSOffice_Level2"/>
      <w:bookmarkStart w:id="39" w:name="_Toc34244514"/>
      <w:bookmarkStart w:id="40" w:name="_Toc2142543351_WPSOffice_Level2"/>
      <w:bookmarkStart w:id="41" w:name="_Toc34299372"/>
      <w:bookmarkStart w:id="42" w:name="_Toc20109"/>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99373"/>
      <w:bookmarkStart w:id="44" w:name="_Toc720307361_WPSOffice_Level2"/>
      <w:bookmarkStart w:id="45" w:name="_Toc34244515"/>
      <w:bookmarkStart w:id="46" w:name="_Toc314859368_WPSOffice_Level2"/>
      <w:bookmarkStart w:id="47" w:name="_Toc14868"/>
      <w:bookmarkStart w:id="48" w:name="_Toc772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时间：</w:t>
      </w:r>
      <w:r>
        <w:rPr>
          <w:rFonts w:asciiTheme="minorEastAsia" w:hAnsiTheme="minorEastAsia" w:eastAsiaTheme="minorEastAsia" w:cstheme="minorEastAsia"/>
          <w:color w:val="000000" w:themeColor="text1"/>
          <w:sz w:val="21"/>
          <w:szCs w:val="21"/>
          <w14:textFill>
            <w14:solidFill>
              <w14:schemeClr w14:val="tx1"/>
            </w14:solidFill>
          </w14:textFill>
        </w:rPr>
        <w:t>#估值时间#</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股价：</w:t>
      </w:r>
      <w:r>
        <w:rPr>
          <w:rFonts w:asciiTheme="minorEastAsia" w:hAnsiTheme="minorEastAsia" w:eastAsiaTheme="minorEastAsia" w:cstheme="minorEastAsia"/>
          <w:color w:val="000000" w:themeColor="text1"/>
          <w:sz w:val="21"/>
          <w:szCs w:val="21"/>
          <w14:textFill>
            <w14:solidFill>
              <w14:schemeClr w14:val="tx1"/>
            </w14:solidFill>
          </w14:textFill>
        </w:rPr>
        <w:t>#估值股价#</w:t>
      </w:r>
      <w:r>
        <w:rPr>
          <w:rFonts w:hint="eastAsia" w:asciiTheme="minorEastAsia" w:hAnsiTheme="minorEastAsia" w:eastAsiaTheme="minorEastAsia" w:cstheme="minorEastAsia"/>
          <w:color w:val="000000" w:themeColor="text1"/>
          <w:sz w:val="21"/>
          <w:szCs w:val="21"/>
          <w14:textFill>
            <w14:solidFill>
              <w14:schemeClr w14:val="tx1"/>
            </w14:solidFill>
          </w14:textFill>
        </w:rPr>
        <w:t>元/股</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总股本：</w:t>
      </w:r>
      <w:r>
        <w:rPr>
          <w:rFonts w:asciiTheme="minorEastAsia" w:hAnsiTheme="minorEastAsia" w:eastAsiaTheme="minorEastAsia" w:cstheme="minorEastAsia"/>
          <w:color w:val="000000" w:themeColor="text1"/>
          <w:sz w:val="21"/>
          <w:szCs w:val="21"/>
          <w14:textFill>
            <w14:solidFill>
              <w14:schemeClr w14:val="tx1"/>
            </w14:solidFill>
          </w14:textFill>
        </w:rPr>
        <w:t>#估值总股本#</w:t>
      </w:r>
      <w:r>
        <w:rPr>
          <w:rFonts w:hint="eastAsia" w:asciiTheme="minorEastAsia" w:hAnsiTheme="minorEastAsia" w:eastAsiaTheme="minorEastAsia" w:cstheme="minorEastAsia"/>
          <w:color w:val="000000" w:themeColor="text1"/>
          <w:sz w:val="21"/>
          <w:szCs w:val="21"/>
          <w14:textFill>
            <w14:solidFill>
              <w14:schemeClr w14:val="tx1"/>
            </w14:solidFill>
          </w14:textFill>
        </w:rPr>
        <w:t>万股</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估值：</w:t>
      </w:r>
      <w:r>
        <w:rPr>
          <w:rFonts w:asciiTheme="minorEastAsia" w:hAnsiTheme="minorEastAsia" w:eastAsiaTheme="minorEastAsia" w:cstheme="minorEastAsia"/>
          <w:color w:val="000000" w:themeColor="text1"/>
          <w:sz w:val="21"/>
          <w:szCs w:val="21"/>
          <w14:textFill>
            <w14:solidFill>
              <w14:schemeClr w14:val="tx1"/>
            </w14:solidFill>
          </w14:textFill>
        </w:rPr>
        <w:t>#总估值#</w:t>
      </w:r>
      <w:r>
        <w:rPr>
          <w:rFonts w:hint="eastAsia" w:asciiTheme="minorEastAsia" w:hAnsiTheme="minorEastAsia" w:eastAsiaTheme="minorEastAsia" w:cstheme="minorEastAsia"/>
          <w:color w:val="000000" w:themeColor="text1"/>
          <w:sz w:val="21"/>
          <w:szCs w:val="21"/>
          <w14:textFill>
            <w14:solidFill>
              <w14:schemeClr w14:val="tx1"/>
            </w14:solidFill>
          </w14:textFill>
        </w:rPr>
        <w:t>亿元</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#估值详情#</w:t>
      </w:r>
    </w:p>
    <w:p>
      <w:pPr>
        <w:pStyle w:val="3"/>
        <w:spacing w:before="240" w:after="0"/>
        <w:rPr>
          <w:rFonts w:ascii="微软雅黑" w:hAnsi="微软雅黑" w:eastAsia="微软雅黑"/>
          <w:bCs/>
          <w:color w:val="333399"/>
          <w:kern w:val="0"/>
          <w:sz w:val="30"/>
          <w:szCs w:val="30"/>
        </w:rPr>
      </w:pPr>
      <w:bookmarkStart w:id="49" w:name="_Toc34299374"/>
      <w:bookmarkStart w:id="50" w:name="_Toc441691768_WPSOffice_Level2"/>
      <w:bookmarkStart w:id="51" w:name="_Toc840498188_WPSOffice_Level2"/>
      <w:bookmarkStart w:id="52" w:name="_Toc34244516"/>
      <w:bookmarkStart w:id="53" w:name="_Toc27853"/>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ind w:firstLine="400" w:firstLineChars="20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779181607_WPSOffice_Level1"/>
      <w:bookmarkStart w:id="55" w:name="_Toc34299375"/>
      <w:bookmarkStart w:id="56" w:name="_Toc10507"/>
      <w:bookmarkStart w:id="57" w:name="_Toc34244517"/>
      <w:bookmarkStart w:id="58" w:name="_Toc1270576096_WPSOffice_Level1"/>
      <w:r>
        <w:rPr>
          <w:rFonts w:hint="eastAsia"/>
          <w:bCs/>
          <w:color w:val="333399"/>
          <w:kern w:val="0"/>
          <w:sz w:val="32"/>
          <w:szCs w:val="32"/>
          <w:lang w:eastAsia="en-US"/>
        </w:rPr>
        <w:t>公司生产经营情况</w:t>
      </w:r>
      <w:bookmarkEnd w:id="54"/>
      <w:bookmarkEnd w:id="55"/>
      <w:bookmarkEnd w:id="56"/>
      <w:bookmarkEnd w:id="57"/>
      <w:bookmarkEnd w:id="58"/>
      <w:bookmarkStart w:id="59" w:name="_Toc34299376"/>
      <w:bookmarkStart w:id="60" w:name="_Toc1810060744_WPSOffice_Level2"/>
      <w:bookmarkStart w:id="61" w:name="_Toc34244518"/>
      <w:bookmarkStart w:id="62" w:name="_Toc6828"/>
      <w:bookmarkStart w:id="63" w:name="_Toc105615750_WPSOffice_Level2"/>
    </w:p>
    <w:p>
      <w:pPr>
        <w:pStyle w:val="3"/>
        <w:numPr>
          <w:ilvl w:val="0"/>
          <w:numId w:val="2"/>
        </w:numPr>
        <w:rPr>
          <w:color w:val="333399"/>
          <w:lang w:eastAsia="en-US"/>
        </w:rPr>
      </w:pPr>
      <w:bookmarkStart w:id="64" w:name="_Toc19519"/>
      <w:r>
        <w:rPr>
          <w:color w:val="333399"/>
        </w:rPr>
        <mc:AlternateContent>
          <mc:Choice Requires="wps">
            <w:drawing>
              <wp:anchor distT="0" distB="0" distL="114300" distR="114300" simplePos="0" relativeHeight="251659264" behindDoc="0" locked="0" layoutInCell="1" allowOverlap="1">
                <wp:simplePos x="0" y="0"/>
                <wp:positionH relativeFrom="column">
                  <wp:posOffset>-1586230</wp:posOffset>
                </wp:positionH>
                <wp:positionV relativeFrom="paragraph">
                  <wp:posOffset>481965</wp:posOffset>
                </wp:positionV>
                <wp:extent cx="6625590" cy="6350"/>
                <wp:effectExtent l="0" t="0" r="0" b="0"/>
                <wp:wrapNone/>
                <wp:docPr id="7" name="直接连接符 7"/>
                <wp:cNvGraphicFramePr/>
                <a:graphic xmlns:a="http://schemas.openxmlformats.org/drawingml/2006/main">
                  <a:graphicData uri="http://schemas.microsoft.com/office/word/2010/wordprocessingShape">
                    <wps:wsp>
                      <wps:cNvCnPr/>
                      <wps:spPr>
                        <a:xfrm flipV="1">
                          <a:off x="1045845" y="7073900"/>
                          <a:ext cx="6625590" cy="6350"/>
                        </a:xfrm>
                        <a:prstGeom prst="line">
                          <a:avLst/>
                        </a:prstGeom>
                        <a:ln w="19050" cmpd="sng">
                          <a:solidFill>
                            <a:srgbClr val="82C0F7"/>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4.9pt;margin-top:37.95pt;height:0.5pt;width:521.7pt;z-index:251659264;mso-width-relative:page;mso-height-relative:page;" filled="f" stroked="t" coordsize="21600,21600" o:gfxdata="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Q7nInYAAAA&#10;CgEAAA8AAAAAAAAAAQAgAAAAIgAAAGRycy9kb3ducmV2LnhtbFBLAQIUABQAAAAIAIdO4kDXkF5J&#10;5AEAAH0DAAAOAAAAAAAAAAEAIAAAACcBAABkcnMvZTJvRG9jLnhtbFBLBQYAAAAABgAGAFkBAAB9&#10;BQAAAAA=&#10;">
                <v:fill on="f" focussize="0,0"/>
                <v:stroke weight="1.5pt" color="#82C0F7 [3204]" miterlimit="8" joinstyle="miter"/>
                <v:imagedata o:title=""/>
                <o:lock v:ext="edit" aspectratio="f"/>
              </v:line>
            </w:pict>
          </mc:Fallback>
        </mc:AlternateContent>
      </w:r>
      <w:r>
        <w:rPr>
          <w:rFonts w:hint="eastAsia"/>
          <w:color w:val="333399"/>
          <w:lang w:eastAsia="en-US"/>
        </w:rPr>
        <w:t>主营业务收入构成</w:t>
      </w:r>
      <w:bookmarkEnd w:id="59"/>
      <w:bookmarkEnd w:id="60"/>
      <w:bookmarkEnd w:id="61"/>
      <w:bookmarkEnd w:id="62"/>
      <w:bookmarkEnd w:id="63"/>
      <w:bookmarkEnd w:id="64"/>
    </w:p>
    <w:p>
      <w:pPr>
        <w:jc w:val="left"/>
        <w:rPr>
          <w:rFonts w:hint="eastAsia" w:eastAsia="微软雅黑"/>
          <w:lang w:eastAsia="zh-CN"/>
        </w:rPr>
      </w:pPr>
      <w:r>
        <w:rPr>
          <w:lang w:eastAsia="en-US"/>
        </w:rPr>
        <w:drawing>
          <wp:inline distT="0" distB="0" distL="0" distR="0">
            <wp:extent cx="4781550" cy="2789555"/>
            <wp:effectExtent l="4445" t="4445" r="14605" b="635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rFonts w:hint="eastAsia" w:eastAsia="微软雅黑"/>
          <w:lang w:eastAsia="zh-CN"/>
        </w:rPr>
        <w:drawing>
          <wp:inline distT="0" distB="0" distL="114300" distR="114300">
            <wp:extent cx="4780280" cy="3585210"/>
            <wp:effectExtent l="4445" t="5080" r="15875" b="1016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rPr>
          <w:color w:val="333399"/>
          <w:lang w:eastAsia="en-US"/>
        </w:rPr>
      </w:pPr>
      <w:r>
        <w:rPr>
          <w:color w:val="333399"/>
        </w:rPr>
        <w:drawing>
          <wp:anchor distT="0" distB="0" distL="114300" distR="114300" simplePos="0" relativeHeight="251656192" behindDoc="0" locked="0" layoutInCell="1" allowOverlap="1">
            <wp:simplePos x="0" y="0"/>
            <wp:positionH relativeFrom="column">
              <wp:posOffset>1946910</wp:posOffset>
            </wp:positionH>
            <wp:positionV relativeFrom="paragraph">
              <wp:posOffset>77470</wp:posOffset>
            </wp:positionV>
            <wp:extent cx="3197860" cy="2074545"/>
            <wp:effectExtent l="0" t="0" r="2540" b="8255"/>
            <wp:wrapSquare wrapText="largest"/>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3197860" cy="2074545"/>
                    </a:xfrm>
                    <a:prstGeom prst="rect">
                      <a:avLst/>
                    </a:prstGeom>
                    <a:noFill/>
                    <a:ln w="9525">
                      <a:noFill/>
                    </a:ln>
                  </pic:spPr>
                </pic:pic>
              </a:graphicData>
            </a:graphic>
          </wp:anchor>
        </w:drawing>
      </w:r>
      <w:r>
        <w:rPr>
          <w:color w:val="333399"/>
        </w:rPr>
        <w:drawing>
          <wp:anchor distT="0" distB="0" distL="114300" distR="114300" simplePos="0" relativeHeight="251653120" behindDoc="0" locked="0" layoutInCell="1" allowOverlap="1">
            <wp:simplePos x="0" y="0"/>
            <wp:positionH relativeFrom="column">
              <wp:posOffset>-1313180</wp:posOffset>
            </wp:positionH>
            <wp:positionV relativeFrom="paragraph">
              <wp:posOffset>32385</wp:posOffset>
            </wp:positionV>
            <wp:extent cx="3306445" cy="2115820"/>
            <wp:effectExtent l="0" t="0" r="20955" b="17780"/>
            <wp:wrapSquare wrapText="left"/>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3306445" cy="2115820"/>
                    </a:xfrm>
                    <a:prstGeom prst="rect">
                      <a:avLst/>
                    </a:prstGeom>
                    <a:noFill/>
                    <a:ln w="9525">
                      <a:noFill/>
                    </a:ln>
                  </pic:spPr>
                </pic:pic>
              </a:graphicData>
            </a:graphic>
          </wp:anchor>
        </w:drawing>
      </w:r>
      <w:r>
        <w:rPr>
          <w:color w:val="333399"/>
        </w:rPr>
        <mc:AlternateContent>
          <mc:Choice Requires="wps">
            <w:drawing>
              <wp:anchor distT="0" distB="0" distL="114300" distR="114300" simplePos="0" relativeHeight="251665408" behindDoc="0" locked="0" layoutInCell="1" allowOverlap="1">
                <wp:simplePos x="0" y="0"/>
                <wp:positionH relativeFrom="column">
                  <wp:posOffset>-1586230</wp:posOffset>
                </wp:positionH>
                <wp:positionV relativeFrom="paragraph">
                  <wp:posOffset>2147570</wp:posOffset>
                </wp:positionV>
                <wp:extent cx="6640195"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6640195" cy="0"/>
                        </a:xfrm>
                        <a:prstGeom prst="line">
                          <a:avLst/>
                        </a:prstGeom>
                        <a:ln w="19050" cmpd="sng">
                          <a:solidFill>
                            <a:srgbClr val="82C0F7"/>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4.9pt;margin-top:169.1pt;height:0pt;width:522.85pt;z-index:251665408;mso-width-relative:page;mso-height-relative:page;" filled="f" stroked="t" coordsize="21600,21600" o:gfxdata="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qP5cPdoAAAAMAQAADwAAAAAAAAABACAAAAAiAAAA&#10;ZHJzL2Rvd25yZXYueG1sUEsBAhQAFAAAAAgAh07iQHJBJ8nMAQAAZAMAAA4AAAAAAAAAAQAgAAAA&#10;KQEAAGRycy9lMm9Eb2MueG1sUEsFBgAAAAAGAAYAWQEAAGcFAAAAAA==&#10;">
                <v:fill on="f" focussize="0,0"/>
                <v:stroke weight="1.5pt" color="#82C0F7 [3204]" miterlimit="8" joinstyle="miter"/>
                <v:imagedata o:title=""/>
                <o:lock v:ext="edit" aspectratio="f"/>
              </v:line>
            </w:pict>
          </mc:Fallback>
        </mc:AlternateConten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6" w:name="_Toc2784"/>
      <w:r>
        <w:rPr>
          <w:rFonts w:hint="eastAsia" w:cs="微软雅黑"/>
          <w:bCs/>
          <w:sz w:val="20"/>
          <w:szCs w:val="20"/>
          <w:lang w:val="en-US" w:eastAsia="zh-CN"/>
        </w:rPr>
        <w:t>#主要供应商情况#</w:t>
      </w:r>
    </w:p>
    <w:bookmarkEnd w:id="66"/>
    <w:p>
      <w:pPr>
        <w:wordWrap w:val="0"/>
        <w:spacing w:line="0" w:lineRule="atLeast"/>
        <w:jc w:val="right"/>
        <w:rPr>
          <w:b/>
          <w:bCs/>
          <w:color w:val="333399"/>
          <w:kern w:val="0"/>
          <w:sz w:val="20"/>
          <w:szCs w:val="20"/>
        </w:rPr>
      </w:pPr>
      <w:bookmarkStart w:id="209" w:name="_GoBack"/>
      <w:bookmarkEnd w:id="209"/>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4244520"/>
      <w:bookmarkStart w:id="68" w:name="_Toc34299378"/>
      <w:bookmarkStart w:id="69" w:name="_Toc318002836_WPSOffice_Level2"/>
      <w:bookmarkStart w:id="70" w:name="_Toc1439960514_WPSOffice_Level2"/>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0"/>
          <w:szCs w:val="20"/>
          <w:lang w:val="en-US" w:eastAsia="zh-CN"/>
        </w:rPr>
      </w:pPr>
      <w:bookmarkStart w:id="72" w:name="_Toc13011"/>
      <w:r>
        <w:rPr>
          <w:rFonts w:hint="eastAsia" w:cs="微软雅黑"/>
          <w:bCs/>
          <w:sz w:val="20"/>
          <w:szCs w:val="20"/>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2142543351_WPSOffice_Level1"/>
      <w:bookmarkStart w:id="74" w:name="_Toc349989443_WPSOffice_Level1"/>
      <w:bookmarkStart w:id="75" w:name="_Toc34244521"/>
      <w:bookmarkStart w:id="76" w:name="_Toc7382"/>
      <w:bookmarkStart w:id="77" w:name="_Toc34299379"/>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423140755_WPSOffice_Level2"/>
      <w:bookmarkStart w:id="79" w:name="_Toc1734350916_WPSOffice_Level2"/>
      <w:bookmarkStart w:id="80" w:name="_Toc34299380"/>
      <w:bookmarkStart w:id="81" w:name="_Toc16784"/>
      <w:bookmarkStart w:id="82" w:name="_Toc3424452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#行业地位#</w:t>
      </w:r>
    </w:p>
    <w:p>
      <w:pPr>
        <w:pStyle w:val="3"/>
        <w:spacing w:before="240" w:after="0"/>
        <w:rPr>
          <w:rFonts w:ascii="微软雅黑" w:hAnsi="微软雅黑" w:eastAsia="微软雅黑"/>
          <w:bCs/>
          <w:color w:val="333399"/>
          <w:kern w:val="0"/>
          <w:sz w:val="30"/>
          <w:szCs w:val="30"/>
          <w:lang w:eastAsia="en-US"/>
        </w:rPr>
      </w:pPr>
      <w:bookmarkStart w:id="83" w:name="_Toc2243"/>
      <w:bookmarkStart w:id="84" w:name="_Toc34299381"/>
      <w:bookmarkStart w:id="85" w:name="_Toc53808999_WPSOffice_Level2"/>
      <w:bookmarkStart w:id="86" w:name="_Toc1440304481_WPSOffice_Level2"/>
      <w:bookmarkStart w:id="87" w:name="_Toc34244523"/>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277230806_WPSOffice_Level2"/>
      <w:bookmarkStart w:id="89" w:name="_Toc761743183_WPSOffice_Level2"/>
      <w:bookmarkStart w:id="90" w:name="_Toc34299382"/>
      <w:bookmarkStart w:id="91" w:name="_Toc34244524"/>
      <w:bookmarkStart w:id="92" w:name="_Toc8889"/>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spacing w:before="220" w:after="0"/>
        <w:rPr>
          <w:rFonts w:cs="微软雅黑"/>
          <w:bCs/>
          <w:sz w:val="20"/>
          <w:szCs w:val="20"/>
        </w:rPr>
      </w:pPr>
      <w:bookmarkStart w:id="93" w:name="_Toc5913"/>
      <w:r>
        <w:rPr>
          <w:rFonts w:hint="eastAsia" w:cs="微软雅黑"/>
          <w:bCs/>
          <w:sz w:val="20"/>
          <w:szCs w:val="20"/>
        </w:rPr>
        <w:t>（1）铝型材业务</w:t>
      </w:r>
      <w:bookmarkEnd w:id="93"/>
    </w:p>
    <w:p>
      <w:pPr>
        <w:jc w:val="left"/>
        <w:rPr>
          <w:rFonts w:ascii="楷体" w:hAnsi="楷体" w:eastAsia="楷体" w:cs="宋体"/>
          <w:color w:val="000000" w:themeColor="text1"/>
          <w14:textFill>
            <w14:solidFill>
              <w14:schemeClr w14:val="tx1"/>
            </w14:solidFill>
          </w14:textFill>
        </w:rPr>
      </w:pPr>
      <w:r>
        <w:rPr>
          <w:rFonts w:ascii="楷体" w:hAnsi="楷体" w:eastAsia="楷体" w:cs="宋体"/>
          <w:color w:val="000000" w:themeColor="text1"/>
          <w14:textFill>
            <w14:solidFill>
              <w14:schemeClr w14:val="tx1"/>
            </w14:solidFill>
          </w14:textFill>
        </w:rPr>
        <w:drawing>
          <wp:inline distT="0" distB="0" distL="114300" distR="114300">
            <wp:extent cx="4775200" cy="3581400"/>
            <wp:effectExtent l="4445" t="4445" r="20955" b="14605"/>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bl>
      <w:tblPr>
        <w:tblStyle w:val="14"/>
        <w:tblW w:w="6669" w:type="pct"/>
        <w:tblInd w:w="-2443"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23"/>
        <w:gridCol w:w="2695"/>
        <w:gridCol w:w="2612"/>
        <w:gridCol w:w="279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企业名称</w:t>
            </w:r>
          </w:p>
        </w:tc>
        <w:tc>
          <w:tcPr>
            <w:tcW w:w="13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2018年</w:t>
            </w:r>
          </w:p>
        </w:tc>
        <w:tc>
          <w:tcPr>
            <w:tcW w:w="126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2017年</w:t>
            </w:r>
          </w:p>
        </w:tc>
        <w:tc>
          <w:tcPr>
            <w:tcW w:w="135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2016年</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#行业毛利率对比表格#</w:t>
            </w:r>
          </w:p>
        </w:tc>
        <w:tc>
          <w:tcPr>
            <w:tcW w:w="1305"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65"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3"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1305"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65"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3"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4"/>
        <w:tabs>
          <w:tab w:val="left" w:pos="5520"/>
        </w:tabs>
        <w:spacing w:before="220" w:after="0"/>
        <w:rPr>
          <w:rFonts w:cs="微软雅黑"/>
          <w:bCs/>
          <w:sz w:val="21"/>
          <w:szCs w:val="21"/>
        </w:rPr>
      </w:pPr>
      <w:bookmarkStart w:id="94" w:name="_Toc99"/>
      <w:r>
        <w:rPr>
          <w:rFonts w:hint="eastAsia" w:cs="微软雅黑"/>
          <w:bCs/>
          <w:sz w:val="21"/>
          <w:szCs w:val="21"/>
        </w:rPr>
        <w:t>（2）窗幕墙安装业务</w:t>
      </w:r>
      <w:bookmarkEnd w:id="94"/>
    </w:p>
    <w:p>
      <w:r>
        <w:rPr>
          <w:rFonts w:ascii="楷体" w:hAnsi="楷体" w:eastAsia="楷体" w:cs="宋体"/>
          <w:color w:val="000000" w:themeColor="text1"/>
          <w:sz w:val="21"/>
          <w:szCs w:val="21"/>
          <w14:textFill>
            <w14:solidFill>
              <w14:schemeClr w14:val="tx1"/>
            </w14:solidFill>
          </w14:textFill>
        </w:rPr>
        <w:drawing>
          <wp:inline distT="0" distB="0" distL="114300" distR="114300">
            <wp:extent cx="4775200" cy="3581400"/>
            <wp:effectExtent l="4445" t="4445" r="20955" b="1460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bl>
      <w:tblPr>
        <w:tblStyle w:val="14"/>
        <w:tblW w:w="6662" w:type="pct"/>
        <w:tblInd w:w="-243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05"/>
        <w:gridCol w:w="2720"/>
        <w:gridCol w:w="2594"/>
        <w:gridCol w:w="279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企业名称</w:t>
            </w:r>
          </w:p>
        </w:tc>
        <w:tc>
          <w:tcPr>
            <w:tcW w:w="131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2018年</w:t>
            </w:r>
          </w:p>
        </w:tc>
        <w:tc>
          <w:tcPr>
            <w:tcW w:w="125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2017年</w:t>
            </w:r>
          </w:p>
        </w:tc>
        <w:tc>
          <w:tcPr>
            <w:tcW w:w="135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2016年</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w:t>
            </w: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安装业务</w:t>
            </w:r>
            <w:r>
              <w:rPr>
                <w:rFonts w:asciiTheme="minorEastAsia" w:hAnsiTheme="minorEastAsia" w:eastAsiaTheme="minorEastAsia" w:cstheme="minorEastAsia"/>
                <w:b/>
                <w:bCs/>
                <w:color w:val="000000" w:themeColor="text1"/>
                <w:sz w:val="21"/>
                <w:szCs w:val="21"/>
                <w14:textFill>
                  <w14:solidFill>
                    <w14:schemeClr w14:val="tx1"/>
                  </w14:solidFill>
                </w14:textFill>
              </w:rPr>
              <w:t>表格#</w:t>
            </w:r>
          </w:p>
        </w:tc>
        <w:tc>
          <w:tcPr>
            <w:tcW w:w="131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5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4"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131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57"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4"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95" w:name="_Toc1526126099_WPSOffice_Level2"/>
      <w:bookmarkStart w:id="96" w:name="_Toc2484"/>
      <w:bookmarkStart w:id="97" w:name="_Toc34244525"/>
      <w:bookmarkStart w:id="98" w:name="_Toc34299383"/>
      <w:bookmarkStart w:id="99" w:name="_Toc1467656914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5"/>
      <w:bookmarkEnd w:id="96"/>
      <w:bookmarkEnd w:id="97"/>
      <w:bookmarkEnd w:id="98"/>
      <w:bookmarkEnd w:id="99"/>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00" w:name="_Toc34299384"/>
            <w:bookmarkStart w:id="101" w:name="_Toc34244526"/>
            <w:bookmarkStart w:id="102" w:name="_Toc56666125_WPSOffice_Level2"/>
            <w:bookmarkStart w:id="103" w:name="_Toc912584156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4"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100"/>
      <w:bookmarkEnd w:id="101"/>
      <w:bookmarkEnd w:id="102"/>
      <w:bookmarkEnd w:id="103"/>
      <w:bookmarkEnd w:id="104"/>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5" w:name="_Toc34299385"/>
      <w:bookmarkStart w:id="106" w:name="_Toc34244527"/>
      <w:bookmarkStart w:id="107" w:name="_Toc1052307254_WPSOffice_Level2"/>
      <w:bookmarkStart w:id="108" w:name="_Toc473703018_WPSOffice_Level2"/>
      <w:bookmarkStart w:id="109" w:name="_Toc22985"/>
      <w:bookmarkStart w:id="110" w:name="_Toc9979"/>
      <w:bookmarkStart w:id="111" w:name="_Toc989"/>
      <w:bookmarkStart w:id="112" w:name="_Toc34244528"/>
      <w:bookmarkStart w:id="113" w:name="_Toc314859368_WPSOffice_Level1"/>
      <w:bookmarkStart w:id="114" w:name="_Toc34299386"/>
      <w:bookmarkStart w:id="115" w:name="_Toc720307361_WPSOffice_Level1"/>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5"/>
      <w:bookmarkEnd w:id="106"/>
      <w:bookmarkEnd w:id="107"/>
      <w:bookmarkEnd w:id="108"/>
      <w:bookmarkEnd w:id="109"/>
    </w:p>
    <w:p>
      <w:pPr>
        <w:spacing w:line="240" w:lineRule="auto"/>
        <w:ind w:firstLine="420" w:firstLineChars="200"/>
        <w:rPr>
          <w:rFonts w:asciiTheme="majorEastAsia" w:hAnsiTheme="majorEastAsia" w:eastAsiaTheme="majorEastAsia" w:cstheme="majorEastAsia"/>
          <w:color w:val="000000" w:themeColor="text1"/>
          <w:sz w:val="20"/>
          <w:szCs w:val="20"/>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57"/>
        <w:gridCol w:w="1857"/>
        <w:gridCol w:w="1855"/>
        <w:gridCol w:w="1793"/>
        <w:gridCol w:w="166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9" w:hRule="atLeast"/>
        </w:trPr>
        <w:tc>
          <w:tcPr>
            <w:tcW w:w="1460"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91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0"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46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917"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46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10"/>
      <w:r>
        <w:rPr>
          <w:rFonts w:hint="eastAsia"/>
          <w:bCs/>
          <w:color w:val="333399"/>
          <w:kern w:val="0"/>
          <w:sz w:val="32"/>
          <w:szCs w:val="32"/>
          <w:lang w:eastAsia="en-US"/>
        </w:rPr>
        <w:t>信息</w:t>
      </w:r>
      <w:bookmarkEnd w:id="111"/>
      <w:bookmarkEnd w:id="112"/>
      <w:bookmarkEnd w:id="113"/>
      <w:bookmarkEnd w:id="114"/>
      <w:bookmarkEnd w:id="115"/>
    </w:p>
    <w:p>
      <w:pPr>
        <w:pStyle w:val="3"/>
        <w:spacing w:before="240" w:after="0"/>
        <w:rPr>
          <w:rFonts w:ascii="微软雅黑" w:hAnsi="微软雅黑" w:eastAsia="微软雅黑"/>
          <w:bCs/>
          <w:color w:val="333399"/>
          <w:kern w:val="0"/>
          <w:sz w:val="30"/>
          <w:szCs w:val="30"/>
          <w:lang w:eastAsia="en-US"/>
        </w:rPr>
      </w:pPr>
      <w:bookmarkStart w:id="116" w:name="_Toc804744097_WPSOffice_Level2"/>
      <w:bookmarkStart w:id="117" w:name="_Toc1600184933_WPSOffice_Level2"/>
      <w:bookmarkStart w:id="118" w:name="_Toc22248"/>
      <w:bookmarkStart w:id="119" w:name="_Toc34244529"/>
      <w:bookmarkStart w:id="120" w:name="_Toc34299387"/>
      <w:r>
        <w:rPr>
          <w:rFonts w:ascii="微软雅黑" w:hAnsi="微软雅黑" w:eastAsia="微软雅黑"/>
          <w:bCs/>
          <w:color w:val="333399"/>
          <w:kern w:val="0"/>
          <w:sz w:val="30"/>
          <w:szCs w:val="30"/>
          <w:lang w:eastAsia="en-US"/>
        </w:rPr>
        <w:t>1、财务总体情况</w:t>
      </w:r>
      <w:bookmarkEnd w:id="116"/>
      <w:bookmarkEnd w:id="117"/>
      <w:bookmarkEnd w:id="118"/>
      <w:bookmarkEnd w:id="119"/>
      <w:bookmarkEnd w:id="120"/>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1" w:name="_Toc34299388"/>
      <w:bookmarkStart w:id="122" w:name="_Toc1370457550_WPSOffice_Level2"/>
      <w:bookmarkStart w:id="123" w:name="_Toc482029473_WPSOffice_Level2"/>
      <w:bookmarkStart w:id="124" w:name="_Toc34244530"/>
      <w:bookmarkStart w:id="125" w:name="_Toc30626"/>
      <w:bookmarkStart w:id="126" w:name="_Toc6099"/>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1"/>
      <w:bookmarkEnd w:id="122"/>
      <w:bookmarkEnd w:id="123"/>
      <w:bookmarkEnd w:id="124"/>
      <w:bookmarkEnd w:id="125"/>
      <w:bookmarkEnd w:id="126"/>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#资产负债情况表格#</w:t>
            </w: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资产类项目：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货币资金</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以公允价值计量且其变动计入当期损益的金融资产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应收票据及应收账款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其他应收款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存货</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固定资产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在建工程</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商誉</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负债类项目：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短期借款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应付票据及应付账款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应交税费</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权益类项目：</w:t>
            </w:r>
          </w:p>
        </w:tc>
        <w:tc>
          <w:tcPr>
            <w:tcW w:w="90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实收资本（或股本）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资本公积</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未分配利润</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pPr>
      <w:bookmarkStart w:id="127"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7"/>
    </w:p>
    <w:p>
      <w:pPr>
        <w:spacing w:line="15" w:lineRule="auto"/>
        <w:ind w:right="-156" w:rightChars="-65"/>
        <w:jc w:val="right"/>
        <w:rPr>
          <w:b/>
          <w:bCs/>
          <w:color w:val="333399"/>
          <w:kern w:val="0"/>
          <w:sz w:val="20"/>
          <w:szCs w:val="20"/>
        </w:rPr>
      </w:pPr>
      <w:r>
        <w:rPr>
          <w:b/>
          <w:bCs/>
          <w:color w:val="333399"/>
          <w:kern w:val="0"/>
          <w:sz w:val="18"/>
          <w:szCs w:val="18"/>
        </w:rPr>
        <w:t xml:space="preserve">         </w:t>
      </w:r>
      <w:r>
        <w:rPr>
          <w:rFonts w:hint="eastAsia"/>
          <w:b/>
          <w:bCs/>
          <w:color w:val="333399"/>
          <w:kern w:val="0"/>
          <w:sz w:val="18"/>
          <w:szCs w:val="18"/>
        </w:rPr>
        <w:t>单位：万元</w:t>
      </w:r>
    </w:p>
    <w:tbl>
      <w:tblPr>
        <w:tblStyle w:val="14"/>
        <w:tblW w:w="6591"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3005"/>
        <w:gridCol w:w="1809"/>
        <w:gridCol w:w="1887"/>
        <w:gridCol w:w="1742"/>
        <w:gridCol w:w="1760"/>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88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#收入与利润情况表格#</w:t>
            </w:r>
          </w:p>
        </w:tc>
        <w:tc>
          <w:tcPr>
            <w:tcW w:w="92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53"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6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收入类项目：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成本类项目：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营业成本</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营业税金及附加</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销售费用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管理费用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研发费用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财务费用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资产减值损失</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利润类项目：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利润总额</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single" w:color="83B5F6" w:sz="18"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扣除非经常性损益后的净利润</w:t>
            </w:r>
          </w:p>
        </w:tc>
        <w:tc>
          <w:tcPr>
            <w:tcW w:w="886"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single" w:color="83B5F6" w:sz="18"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128" w:name="_Toc1870678712_WPSOffice_Level2"/>
      <w:bookmarkStart w:id="129" w:name="_Toc1499450547_WPSOffice_Level2"/>
      <w:bookmarkStart w:id="130" w:name="_Toc34244532"/>
      <w:bookmarkStart w:id="131" w:name="_Toc27328"/>
      <w:bookmarkStart w:id="132" w:name="_Toc18485"/>
      <w:bookmarkStart w:id="133" w:name="_Toc34299390"/>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8"/>
      <w:bookmarkEnd w:id="129"/>
      <w:bookmarkEnd w:id="130"/>
      <w:bookmarkEnd w:id="131"/>
      <w:bookmarkEnd w:id="132"/>
      <w:bookmarkEnd w:id="133"/>
    </w:p>
    <w:tbl>
      <w:tblPr>
        <w:tblStyle w:val="14"/>
        <w:tblW w:w="6598"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991"/>
        <w:gridCol w:w="1839"/>
        <w:gridCol w:w="1841"/>
        <w:gridCol w:w="1727"/>
        <w:gridCol w:w="1816"/>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asciiTheme="minorEastAsia" w:hAnsiTheme="minorEastAsia" w:eastAsiaTheme="minorEastAsia" w:cstheme="minorEastAsia"/>
                <w:b w:val="0"/>
                <w:bCs/>
                <w:color w:val="000000" w:themeColor="text1"/>
                <w:sz w:val="21"/>
                <w:szCs w:val="21"/>
                <w14:textFill>
                  <w14:solidFill>
                    <w14:schemeClr w14:val="tx1"/>
                  </w14:solidFill>
                </w14:textFill>
              </w:rPr>
              <w:t>#财务指标表格#</w:t>
            </w:r>
          </w:p>
        </w:tc>
        <w:tc>
          <w:tcPr>
            <w:tcW w:w="90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89"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流动比率（倍）</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速动比率 (倍)</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资产负债率 (%)</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无形资产占净资产的比例(%)</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加权平均净资产收益率(%)</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应收账款周转率 (次)</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8"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息税折旧摊销前利润/负债合计 (万元)</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1" w:hRule="atLeast"/>
        </w:trPr>
        <w:tc>
          <w:tcPr>
            <w:tcW w:w="1464" w:type="pct"/>
            <w:tcBorders>
              <w:top w:val="dotted" w:color="83B5F6" w:sz="4" w:space="0"/>
              <w:left w:val="nil"/>
              <w:bottom w:val="single" w:color="83B5F6" w:sz="18"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基本每股收益 (元/股)</w:t>
            </w:r>
          </w:p>
        </w:tc>
        <w:tc>
          <w:tcPr>
            <w:tcW w:w="900"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single" w:color="83B5F6" w:sz="18" w:space="0"/>
              <w:right w:val="nil"/>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bookmarkStart w:id="134" w:name="_Toc840498188_WPSOffice_Level1"/>
      <w:bookmarkStart w:id="135" w:name="_Toc441691768_WPSOffice_Level1"/>
      <w:bookmarkStart w:id="136" w:name="_Toc34244533"/>
      <w:bookmarkStart w:id="137" w:name="_Toc34299391"/>
      <w:bookmarkStart w:id="138" w:name="_Toc32140"/>
      <w:r>
        <w:rPr>
          <w:rFonts w:hint="eastAsia"/>
          <w:bCs/>
          <w:color w:val="333399"/>
          <w:kern w:val="0"/>
          <w:sz w:val="32"/>
          <w:szCs w:val="32"/>
          <w:lang w:eastAsia="en-US"/>
        </w:rPr>
        <w:t>募集资金运用</w:t>
      </w:r>
      <w:bookmarkEnd w:id="134"/>
      <w:bookmarkEnd w:id="135"/>
      <w:bookmarkEnd w:id="136"/>
      <w:bookmarkEnd w:id="137"/>
      <w:bookmarkEnd w:id="138"/>
      <w:bookmarkStart w:id="139" w:name="_Toc544745884_WPSOffice_Level2"/>
      <w:bookmarkStart w:id="140" w:name="_Toc1336520504_WPSOffice_Level2"/>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单位：万元</w:t>
      </w:r>
      <w:bookmarkEnd w:id="139"/>
      <w:bookmarkEnd w:id="140"/>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spacing w:before="7" w:line="240" w:lineRule="auto"/>
        <w:ind w:firstLine="416" w:firstLineChars="200"/>
        <w:rPr>
          <w:rFonts w:ascii="楷体-简" w:hAnsi="楷体-简" w:eastAsia="楷体-简" w:cs="楷体-简"/>
          <w:color w:val="0D0D0D" w:themeColor="text1" w:themeTint="F2"/>
          <w:spacing w:val="-1"/>
          <w:sz w:val="21"/>
          <w:szCs w:val="21"/>
          <w14:textFill>
            <w14:solidFill>
              <w14:schemeClr w14:val="tx1">
                <w14:lumMod w14:val="95000"/>
                <w14:lumOff w14:val="5000"/>
              </w14:schemeClr>
            </w14:solidFill>
          </w14:textFill>
        </w:rPr>
      </w:pPr>
      <w:r>
        <w:rPr>
          <w:rFonts w:ascii="楷体-简" w:hAnsi="楷体-简" w:eastAsia="楷体-简" w:cs="楷体-简"/>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jc w:val="left"/>
        <w:rPr>
          <w:rFonts w:ascii="楷体" w:hAnsi="楷体" w:eastAsia="楷体"/>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#问询回复/反馈意见流程</w:t>
      </w:r>
      <w:r>
        <w:rPr>
          <w:rFonts w:asciiTheme="minorEastAsia" w:hAnsiTheme="minorEastAsia" w:eastAsiaTheme="minorEastAsia" w:cstheme="minorEastAsia"/>
          <w:color w:val="000000" w:themeColor="text1"/>
          <w:szCs w:val="24"/>
          <w14:textFill>
            <w14:solidFill>
              <w14:schemeClr w14:val="tx1"/>
            </w14:solidFill>
          </w14:textFill>
        </w:rPr>
        <w:t>#</w:t>
      </w:r>
    </w:p>
    <w:p>
      <w:pPr>
        <w:pStyle w:val="2"/>
        <w:numPr>
          <w:numId w:val="0"/>
        </w:numPr>
        <w:ind w:leftChars="0"/>
        <w:jc w:val="left"/>
        <w:rPr>
          <w:bCs/>
          <w:color w:val="333399"/>
          <w:kern w:val="0"/>
          <w:sz w:val="32"/>
          <w:szCs w:val="32"/>
          <w:lang w:eastAsia="en-US"/>
        </w:rPr>
      </w:pPr>
      <w:bookmarkStart w:id="141" w:name="_Toc53808999_WPSOffice_Level1"/>
      <w:bookmarkStart w:id="142" w:name="_Toc34244546"/>
      <w:bookmarkStart w:id="143" w:name="_Toc5178"/>
      <w:bookmarkStart w:id="144" w:name="_Toc1440304481_WPSOffice_Level1"/>
      <w:bookmarkStart w:id="145" w:name="_Toc34299404"/>
      <w:r>
        <w:rPr>
          <w:rFonts w:hint="eastAsia"/>
          <w:bCs/>
          <w:color w:val="333399"/>
          <w:kern w:val="0"/>
          <w:sz w:val="32"/>
          <w:szCs w:val="32"/>
          <w:lang w:val="en-US" w:eastAsia="zh-CN"/>
        </w:rPr>
        <w:t>八、</w:t>
      </w:r>
      <w:r>
        <w:rPr>
          <w:rFonts w:hint="eastAsia"/>
          <w:bCs/>
          <w:color w:val="333399"/>
          <w:kern w:val="0"/>
          <w:sz w:val="32"/>
          <w:szCs w:val="32"/>
          <w:lang w:eastAsia="en-US"/>
        </w:rPr>
        <w:t>发行概况</w:t>
      </w:r>
      <w:bookmarkEnd w:id="141"/>
      <w:bookmarkEnd w:id="142"/>
      <w:bookmarkEnd w:id="143"/>
      <w:bookmarkEnd w:id="144"/>
      <w:bookmarkEnd w:id="145"/>
    </w:p>
    <w:p>
      <w:pPr>
        <w:pStyle w:val="3"/>
        <w:spacing w:before="240" w:after="0"/>
        <w:rPr>
          <w:rFonts w:ascii="微软雅黑" w:hAnsi="微软雅黑" w:eastAsia="微软雅黑"/>
          <w:bCs/>
          <w:color w:val="333399"/>
          <w:kern w:val="0"/>
          <w:sz w:val="30"/>
          <w:szCs w:val="30"/>
          <w:lang w:eastAsia="en-US"/>
        </w:rPr>
      </w:pPr>
      <w:bookmarkStart w:id="146" w:name="_Toc29502"/>
      <w:bookmarkStart w:id="147" w:name="_Toc34244547"/>
      <w:bookmarkStart w:id="148" w:name="_Toc9239"/>
      <w:bookmarkStart w:id="149" w:name="_Toc1490648814_WPSOffice_Level2"/>
      <w:bookmarkStart w:id="150" w:name="_Toc205059045_WPSOffice_Level2"/>
      <w:bookmarkStart w:id="151" w:name="_Toc34299405"/>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6"/>
      <w:bookmarkEnd w:id="147"/>
      <w:bookmarkEnd w:id="148"/>
      <w:bookmarkEnd w:id="149"/>
      <w:bookmarkEnd w:id="150"/>
      <w:bookmarkEnd w:id="151"/>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2" w:name="_Toc1863599527_WPSOffice_Level2"/>
      <w:bookmarkStart w:id="153" w:name="_Toc34244548"/>
      <w:bookmarkStart w:id="154" w:name="_Toc34299406"/>
      <w:bookmarkStart w:id="155" w:name="_Toc29848"/>
      <w:bookmarkStart w:id="156" w:name="_Toc24289"/>
      <w:bookmarkStart w:id="157" w:name="_Toc790390996_WPSOffice_Level2"/>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2"/>
      <w:bookmarkEnd w:id="153"/>
      <w:bookmarkEnd w:id="154"/>
      <w:bookmarkEnd w:id="155"/>
      <w:bookmarkEnd w:id="156"/>
      <w:bookmarkEnd w:id="157"/>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单位：万元</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default" w:asciiTheme="minorEastAsia" w:hAnsiTheme="minorEastAsia" w:eastAsiaTheme="minorEastAsia" w:cstheme="minorEastAsia"/>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r>
    </w:tbl>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158" w:name="_Toc21047"/>
      <w:bookmarkStart w:id="159" w:name="_Toc468258794_WPSOffice_Level2"/>
      <w:bookmarkStart w:id="160" w:name="_Toc24527"/>
      <w:bookmarkStart w:id="161" w:name="_Toc34299407"/>
      <w:bookmarkStart w:id="162" w:name="_Toc34244549"/>
      <w:bookmarkStart w:id="163" w:name="_Toc1915113077_WPSOffice_Level2"/>
      <w:r>
        <w:rPr>
          <w:rFonts w:hint="eastAsia" w:ascii="微软雅黑" w:hAnsi="微软雅黑" w:eastAsia="微软雅黑"/>
          <w:bCs/>
          <w:color w:val="333399"/>
          <w:kern w:val="0"/>
          <w:sz w:val="30"/>
          <w:szCs w:val="30"/>
          <w:lang w:eastAsia="en-US"/>
        </w:rPr>
        <w:t>战略配售</w:t>
      </w:r>
      <w:bookmarkEnd w:id="158"/>
      <w:r>
        <w:rPr>
          <w:rFonts w:hint="eastAsia" w:ascii="微软雅黑" w:hAnsi="微软雅黑" w:eastAsia="微软雅黑"/>
          <w:bCs/>
          <w:color w:val="333399"/>
          <w:kern w:val="0"/>
          <w:sz w:val="30"/>
          <w:szCs w:val="30"/>
          <w:lang w:eastAsia="en-US"/>
        </w:rPr>
        <w:t>情况</w:t>
      </w:r>
      <w:bookmarkEnd w:id="159"/>
      <w:bookmarkEnd w:id="160"/>
      <w:bookmarkEnd w:id="161"/>
      <w:bookmarkEnd w:id="162"/>
      <w:bookmarkEnd w:id="163"/>
    </w:p>
    <w:tbl>
      <w:tblPr>
        <w:tblStyle w:val="14"/>
        <w:tblW w:w="6436"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1258"/>
        <w:gridCol w:w="1988"/>
        <w:gridCol w:w="2016"/>
        <w:gridCol w:w="1067"/>
        <w:gridCol w:w="917"/>
        <w:gridCol w:w="1306"/>
        <w:gridCol w:w="1411"/>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序号</w:t>
            </w:r>
          </w:p>
        </w:tc>
        <w:tc>
          <w:tcPr>
            <w:tcW w:w="99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3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6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5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0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#战略配售表格#</w:t>
            </w:r>
          </w:p>
        </w:tc>
        <w:tc>
          <w:tcPr>
            <w:tcW w:w="997"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bottom w:val="dotted" w:color="83B5F6" w:sz="4" w:space="0"/>
              <w:right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dotted" w:color="83B5F6" w:sz="4" w:space="0"/>
              <w:right w:val="dotted" w:color="83B5F6" w:sz="4" w:space="0"/>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他</w:t>
            </w:r>
          </w:p>
        </w:tc>
        <w:tc>
          <w:tcPr>
            <w:tcW w:w="997"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numId w:val="0"/>
        </w:numPr>
        <w:ind w:leftChars="0"/>
        <w:jc w:val="left"/>
        <w:rPr>
          <w:bCs/>
          <w:color w:val="333399"/>
          <w:kern w:val="0"/>
          <w:sz w:val="32"/>
          <w:szCs w:val="32"/>
          <w:lang w:eastAsia="en-US"/>
        </w:rPr>
      </w:pPr>
      <w:bookmarkStart w:id="164" w:name="_Toc761743183_WPSOffice_Level1"/>
      <w:bookmarkStart w:id="165" w:name="_Toc277230806_WPSOffice_Level1"/>
      <w:bookmarkStart w:id="166" w:name="_Toc14291"/>
      <w:bookmarkStart w:id="167" w:name="_Toc34244550"/>
      <w:bookmarkStart w:id="168" w:name="_Toc34299408"/>
      <w:r>
        <w:rPr>
          <w:rFonts w:hint="eastAsia"/>
          <w:bCs/>
          <w:color w:val="333399"/>
          <w:kern w:val="0"/>
          <w:sz w:val="32"/>
          <w:szCs w:val="32"/>
          <w:lang w:val="en-US" w:eastAsia="zh-CN"/>
        </w:rPr>
        <w:t>九、</w:t>
      </w:r>
      <w:r>
        <w:rPr>
          <w:rFonts w:hint="eastAsia"/>
          <w:bCs/>
          <w:color w:val="333399"/>
          <w:kern w:val="0"/>
          <w:sz w:val="32"/>
          <w:szCs w:val="32"/>
          <w:lang w:eastAsia="en-US"/>
        </w:rPr>
        <w:t>中介机构</w:t>
      </w:r>
      <w:bookmarkEnd w:id="164"/>
      <w:bookmarkEnd w:id="165"/>
      <w:bookmarkEnd w:id="166"/>
      <w:bookmarkEnd w:id="167"/>
      <w:bookmarkEnd w:id="168"/>
    </w:p>
    <w:p>
      <w:pPr>
        <w:pStyle w:val="3"/>
        <w:spacing w:before="240" w:after="0"/>
        <w:rPr>
          <w:rFonts w:ascii="微软雅黑" w:hAnsi="微软雅黑" w:eastAsia="微软雅黑"/>
          <w:bCs/>
          <w:color w:val="333399"/>
          <w:kern w:val="0"/>
          <w:sz w:val="30"/>
          <w:szCs w:val="30"/>
          <w:lang w:eastAsia="en-US"/>
        </w:rPr>
      </w:pPr>
      <w:bookmarkStart w:id="169" w:name="_Toc820583903_WPSOffice_Level2"/>
      <w:bookmarkStart w:id="170" w:name="_Toc1645468150_WPSOffice_Level2"/>
      <w:bookmarkStart w:id="171" w:name="_Toc4946"/>
      <w:bookmarkStart w:id="172" w:name="_Toc34244551"/>
      <w:bookmarkStart w:id="173" w:name="_Toc34299409"/>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9"/>
      <w:bookmarkEnd w:id="170"/>
      <w:bookmarkEnd w:id="171"/>
      <w:bookmarkEnd w:id="172"/>
      <w:bookmarkEnd w:id="17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4" w:name="_Toc413676687_WPSOffice_Level2"/>
      <w:bookmarkStart w:id="175" w:name="_Toc88790984_WPSOffice_Level2"/>
      <w:bookmarkStart w:id="176" w:name="_Toc34299410"/>
      <w:bookmarkStart w:id="177" w:name="_Toc34244552"/>
      <w:bookmarkStart w:id="178" w:name="_Toc14946"/>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4"/>
      <w:bookmarkEnd w:id="175"/>
      <w:bookmarkEnd w:id="176"/>
      <w:bookmarkEnd w:id="177"/>
      <w:bookmarkEnd w:id="17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9" w:name="_Toc34299411"/>
      <w:bookmarkStart w:id="180" w:name="_Toc1956417070_WPSOffice_Level2"/>
      <w:bookmarkStart w:id="181" w:name="_Toc11256"/>
      <w:bookmarkStart w:id="182" w:name="_Toc34244553"/>
      <w:bookmarkStart w:id="183" w:name="_Toc1259513070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9"/>
      <w:bookmarkEnd w:id="180"/>
      <w:bookmarkEnd w:id="181"/>
      <w:bookmarkEnd w:id="182"/>
      <w:bookmarkEnd w:id="18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4" w:name="_Toc10388"/>
      <w:bookmarkStart w:id="185" w:name="_Toc889859011_WPSOffice_Level2"/>
      <w:bookmarkStart w:id="186" w:name="_Toc1379576273_WPSOffice_Level2"/>
      <w:bookmarkStart w:id="187" w:name="_Toc34299412"/>
      <w:bookmarkStart w:id="188" w:name="_Toc34244554"/>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4"/>
      <w:bookmarkEnd w:id="185"/>
      <w:bookmarkEnd w:id="186"/>
      <w:bookmarkEnd w:id="187"/>
      <w:bookmarkEnd w:id="18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9" w:name="_Toc157483652_WPSOffice_Level2"/>
      <w:bookmarkStart w:id="190" w:name="_Toc784280169_WPSOffice_Level2"/>
      <w:bookmarkStart w:id="191" w:name="_Toc28052"/>
      <w:bookmarkStart w:id="192" w:name="_Toc34244555"/>
      <w:bookmarkStart w:id="193" w:name="_Toc34299413"/>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9"/>
      <w:bookmarkEnd w:id="190"/>
      <w:bookmarkEnd w:id="191"/>
      <w:bookmarkEnd w:id="192"/>
      <w:bookmarkEnd w:id="19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4" w:name="_Toc34244556"/>
      <w:bookmarkStart w:id="195" w:name="_Toc1127886060_WPSOffice_Level2"/>
      <w:bookmarkStart w:id="196" w:name="_Toc34299414"/>
      <w:bookmarkStart w:id="197" w:name="_Toc8523"/>
      <w:bookmarkStart w:id="198" w:name="_Toc142175097_WPSOffice_Level2"/>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4"/>
      <w:bookmarkEnd w:id="195"/>
      <w:bookmarkEnd w:id="196"/>
      <w:bookmarkEnd w:id="197"/>
      <w:bookmarkEnd w:id="19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9" w:name="_Toc9331"/>
      <w:bookmarkStart w:id="200" w:name="_Toc542858351_WPSOffice_Level2"/>
      <w:bookmarkStart w:id="201" w:name="_Toc34244557"/>
      <w:bookmarkStart w:id="202" w:name="_Toc34299415"/>
      <w:bookmarkStart w:id="203" w:name="_Toc1535039815_WPSOffice_Level2"/>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9"/>
      <w:bookmarkEnd w:id="200"/>
      <w:bookmarkEnd w:id="201"/>
      <w:bookmarkEnd w:id="202"/>
      <w:bookmarkEnd w:id="20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#资产评估机构#</w:t>
      </w:r>
    </w:p>
    <w:p>
      <w:pPr>
        <w:pStyle w:val="2"/>
        <w:numPr>
          <w:numId w:val="0"/>
        </w:numPr>
        <w:ind w:leftChars="0"/>
        <w:jc w:val="left"/>
        <w:rPr>
          <w:bCs/>
          <w:color w:val="333399"/>
          <w:kern w:val="0"/>
          <w:sz w:val="32"/>
          <w:szCs w:val="32"/>
          <w:lang w:eastAsia="en-US"/>
        </w:rPr>
      </w:pPr>
      <w:bookmarkStart w:id="204" w:name="_Toc1467656914_WPSOffice_Level1"/>
      <w:bookmarkStart w:id="205" w:name="_Toc3272"/>
      <w:bookmarkStart w:id="206" w:name="_Toc1526126099_WPSOffice_Level1"/>
      <w:bookmarkStart w:id="207" w:name="_Toc34299416"/>
      <w:bookmarkStart w:id="208" w:name="_Toc34244558"/>
      <w:r>
        <w:rPr>
          <w:rFonts w:hint="eastAsia"/>
          <w:bCs/>
          <w:color w:val="333399"/>
          <w:kern w:val="0"/>
          <w:sz w:val="32"/>
          <w:szCs w:val="32"/>
          <w:lang w:val="en-US" w:eastAsia="zh-CN"/>
        </w:rPr>
        <w:t>十、</w:t>
      </w:r>
      <w:r>
        <w:rPr>
          <w:rFonts w:hint="eastAsia"/>
          <w:bCs/>
          <w:color w:val="333399"/>
          <w:kern w:val="0"/>
          <w:sz w:val="32"/>
          <w:szCs w:val="32"/>
          <w:lang w:eastAsia="en-US"/>
        </w:rPr>
        <w:t>释义与说明</w:t>
      </w:r>
      <w:bookmarkEnd w:id="204"/>
      <w:bookmarkEnd w:id="205"/>
      <w:bookmarkEnd w:id="206"/>
      <w:bookmarkEnd w:id="207"/>
      <w:bookmarkEnd w:id="208"/>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7"/>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8"/>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9"/>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0"/>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21"/>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2"/>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5E673F77"/>
    <w:multiLevelType w:val="singleLevel"/>
    <w:tmpl w:val="5E673F77"/>
    <w:lvl w:ilvl="0" w:tentative="0">
      <w:start w:val="1"/>
      <w:numFmt w:val="chineseCountingThousand"/>
      <w:lvlText w:val="%1、"/>
      <w:lvlJc w:val="left"/>
      <w:pPr>
        <w:ind w:left="42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D10590"/>
    <w:rsid w:val="00D46CCA"/>
    <w:rsid w:val="00D576DE"/>
    <w:rsid w:val="00D628E6"/>
    <w:rsid w:val="00DA79E3"/>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20E17D9"/>
    <w:rsid w:val="035790F2"/>
    <w:rsid w:val="05373B98"/>
    <w:rsid w:val="05616F75"/>
    <w:rsid w:val="071A2C29"/>
    <w:rsid w:val="073F3D76"/>
    <w:rsid w:val="075E3484"/>
    <w:rsid w:val="076B5990"/>
    <w:rsid w:val="08173AF0"/>
    <w:rsid w:val="087C578D"/>
    <w:rsid w:val="0A5C4B7D"/>
    <w:rsid w:val="0C014C44"/>
    <w:rsid w:val="0DFFCCDE"/>
    <w:rsid w:val="0F06062E"/>
    <w:rsid w:val="10551EFA"/>
    <w:rsid w:val="1078439C"/>
    <w:rsid w:val="11187D5C"/>
    <w:rsid w:val="113E0325"/>
    <w:rsid w:val="127833A6"/>
    <w:rsid w:val="136E56B6"/>
    <w:rsid w:val="144128D1"/>
    <w:rsid w:val="14D5040E"/>
    <w:rsid w:val="15B77065"/>
    <w:rsid w:val="16006D09"/>
    <w:rsid w:val="176B0386"/>
    <w:rsid w:val="176E3E35"/>
    <w:rsid w:val="19202D10"/>
    <w:rsid w:val="1A7264C4"/>
    <w:rsid w:val="1AC1697A"/>
    <w:rsid w:val="1B0F5FDC"/>
    <w:rsid w:val="1B1476C2"/>
    <w:rsid w:val="1BA80375"/>
    <w:rsid w:val="1CA14892"/>
    <w:rsid w:val="1CD86561"/>
    <w:rsid w:val="1E216B96"/>
    <w:rsid w:val="1EBBE7B5"/>
    <w:rsid w:val="1F7164FD"/>
    <w:rsid w:val="1FBE72DD"/>
    <w:rsid w:val="200F5B1E"/>
    <w:rsid w:val="22AF6A54"/>
    <w:rsid w:val="24801E42"/>
    <w:rsid w:val="248C26CA"/>
    <w:rsid w:val="252943B6"/>
    <w:rsid w:val="256B4028"/>
    <w:rsid w:val="25B5094C"/>
    <w:rsid w:val="2674371B"/>
    <w:rsid w:val="267856B9"/>
    <w:rsid w:val="26DEF9D5"/>
    <w:rsid w:val="27F520D3"/>
    <w:rsid w:val="28462C59"/>
    <w:rsid w:val="2AD8597F"/>
    <w:rsid w:val="2FAF43B3"/>
    <w:rsid w:val="2FC56C43"/>
    <w:rsid w:val="2FEE1DC0"/>
    <w:rsid w:val="30DE0FEC"/>
    <w:rsid w:val="31EF5F79"/>
    <w:rsid w:val="3229164B"/>
    <w:rsid w:val="339C5317"/>
    <w:rsid w:val="34761D07"/>
    <w:rsid w:val="35F50A75"/>
    <w:rsid w:val="35FF19F1"/>
    <w:rsid w:val="362679C7"/>
    <w:rsid w:val="36DB1772"/>
    <w:rsid w:val="36F79D6C"/>
    <w:rsid w:val="37E463F0"/>
    <w:rsid w:val="37F8FDD7"/>
    <w:rsid w:val="38736F08"/>
    <w:rsid w:val="38A02187"/>
    <w:rsid w:val="396D7ACF"/>
    <w:rsid w:val="399B1869"/>
    <w:rsid w:val="3A82230F"/>
    <w:rsid w:val="3AA26F00"/>
    <w:rsid w:val="3AB9211B"/>
    <w:rsid w:val="3BE268DE"/>
    <w:rsid w:val="3BFF3B22"/>
    <w:rsid w:val="3CDC0244"/>
    <w:rsid w:val="3D0137BF"/>
    <w:rsid w:val="3D230D14"/>
    <w:rsid w:val="3D324CE1"/>
    <w:rsid w:val="3DF10D25"/>
    <w:rsid w:val="3DFB3F2B"/>
    <w:rsid w:val="3E8340D0"/>
    <w:rsid w:val="3F1D7C2F"/>
    <w:rsid w:val="3F7A2890"/>
    <w:rsid w:val="3FFB11F2"/>
    <w:rsid w:val="3FFB7F5E"/>
    <w:rsid w:val="3FFF8BD8"/>
    <w:rsid w:val="4053497A"/>
    <w:rsid w:val="4099389B"/>
    <w:rsid w:val="40B405AA"/>
    <w:rsid w:val="416542F8"/>
    <w:rsid w:val="423425D5"/>
    <w:rsid w:val="42482CA6"/>
    <w:rsid w:val="433A61EC"/>
    <w:rsid w:val="44E14A90"/>
    <w:rsid w:val="46EE082E"/>
    <w:rsid w:val="47496807"/>
    <w:rsid w:val="493D464E"/>
    <w:rsid w:val="49AE1859"/>
    <w:rsid w:val="4A3F06A3"/>
    <w:rsid w:val="4B0815F2"/>
    <w:rsid w:val="4B522CF5"/>
    <w:rsid w:val="4C176EB0"/>
    <w:rsid w:val="4C396323"/>
    <w:rsid w:val="4C8C1BC3"/>
    <w:rsid w:val="4D362F7B"/>
    <w:rsid w:val="4F1F0090"/>
    <w:rsid w:val="4F7DF0F7"/>
    <w:rsid w:val="4F9F3273"/>
    <w:rsid w:val="509D5E47"/>
    <w:rsid w:val="50C744E7"/>
    <w:rsid w:val="51973DF8"/>
    <w:rsid w:val="52AE017F"/>
    <w:rsid w:val="52DFDB40"/>
    <w:rsid w:val="531FFB38"/>
    <w:rsid w:val="542E20BD"/>
    <w:rsid w:val="54A304E5"/>
    <w:rsid w:val="54D97A46"/>
    <w:rsid w:val="55003CA9"/>
    <w:rsid w:val="559C4857"/>
    <w:rsid w:val="570E508B"/>
    <w:rsid w:val="571FA0B7"/>
    <w:rsid w:val="57486A96"/>
    <w:rsid w:val="57E9BBF3"/>
    <w:rsid w:val="58FE87C3"/>
    <w:rsid w:val="5A0F0320"/>
    <w:rsid w:val="5A2971D9"/>
    <w:rsid w:val="5A9ED305"/>
    <w:rsid w:val="5AEF8F68"/>
    <w:rsid w:val="5B4A30E9"/>
    <w:rsid w:val="5C14365A"/>
    <w:rsid w:val="5CAF3D12"/>
    <w:rsid w:val="5D3B71A4"/>
    <w:rsid w:val="5D5EBD04"/>
    <w:rsid w:val="5DFC3FC6"/>
    <w:rsid w:val="5DFFC7AC"/>
    <w:rsid w:val="5E63E14C"/>
    <w:rsid w:val="5EA66A68"/>
    <w:rsid w:val="5ED73781"/>
    <w:rsid w:val="5EDB33A0"/>
    <w:rsid w:val="5F391DC5"/>
    <w:rsid w:val="5F51CA8D"/>
    <w:rsid w:val="5F9A4080"/>
    <w:rsid w:val="5FBF99F2"/>
    <w:rsid w:val="5FF7E9CC"/>
    <w:rsid w:val="611637EE"/>
    <w:rsid w:val="61580FB1"/>
    <w:rsid w:val="617FE9CB"/>
    <w:rsid w:val="619B5209"/>
    <w:rsid w:val="61A74D80"/>
    <w:rsid w:val="63F21A7C"/>
    <w:rsid w:val="646E548C"/>
    <w:rsid w:val="65F25169"/>
    <w:rsid w:val="65FEE04F"/>
    <w:rsid w:val="67052EC1"/>
    <w:rsid w:val="67DC3A0E"/>
    <w:rsid w:val="67FFBB6D"/>
    <w:rsid w:val="69772DAE"/>
    <w:rsid w:val="697F85D1"/>
    <w:rsid w:val="6AD52E59"/>
    <w:rsid w:val="6B4C7CAC"/>
    <w:rsid w:val="6B887987"/>
    <w:rsid w:val="6BE815AC"/>
    <w:rsid w:val="6BFF6126"/>
    <w:rsid w:val="6C302E1E"/>
    <w:rsid w:val="6D5244CA"/>
    <w:rsid w:val="6F144407"/>
    <w:rsid w:val="6F758899"/>
    <w:rsid w:val="6F7B5513"/>
    <w:rsid w:val="6FF6324D"/>
    <w:rsid w:val="702666D9"/>
    <w:rsid w:val="704817C5"/>
    <w:rsid w:val="709E5406"/>
    <w:rsid w:val="71E50225"/>
    <w:rsid w:val="73FFFDCF"/>
    <w:rsid w:val="745D307F"/>
    <w:rsid w:val="74691DAD"/>
    <w:rsid w:val="760D0E59"/>
    <w:rsid w:val="7732691A"/>
    <w:rsid w:val="77BF93F7"/>
    <w:rsid w:val="77E0740B"/>
    <w:rsid w:val="77FF30F9"/>
    <w:rsid w:val="77FF8FFD"/>
    <w:rsid w:val="79A03765"/>
    <w:rsid w:val="7B5749E7"/>
    <w:rsid w:val="7B5A46C7"/>
    <w:rsid w:val="7B635858"/>
    <w:rsid w:val="7BB57067"/>
    <w:rsid w:val="7BF7A91B"/>
    <w:rsid w:val="7C673E2A"/>
    <w:rsid w:val="7DCC1ACC"/>
    <w:rsid w:val="7DDF03EF"/>
    <w:rsid w:val="7DFDAE50"/>
    <w:rsid w:val="7E4F0BE7"/>
    <w:rsid w:val="7E7F3E69"/>
    <w:rsid w:val="7EA70B89"/>
    <w:rsid w:val="7EADA326"/>
    <w:rsid w:val="7EE30A04"/>
    <w:rsid w:val="7EFD8BD1"/>
    <w:rsid w:val="7F72BBC3"/>
    <w:rsid w:val="7F7CF164"/>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jpeg"/><Relationship Id="rId16" Type="http://schemas.openxmlformats.org/officeDocument/2006/relationships/chart" Target="charts/chart4.xml"/><Relationship Id="rId15" Type="http://schemas.openxmlformats.org/officeDocument/2006/relationships/chart" Target="charts/chart3.xml"/><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634262948207171"/>
          <c:y val="0.177555201456863"/>
          <c:w val="0.905365205843293"/>
          <c:h val="0.612201229228318"/>
        </c:manualLayout>
      </c:layout>
      <c:barChart>
        <c:barDir val="col"/>
        <c:grouping val="clustered"/>
        <c:varyColors val="0"/>
        <c:ser>
          <c:idx val="0"/>
          <c:order val="0"/>
          <c:tx>
            <c:strRef>
              <c:f>Sheet1!$B$1</c:f>
              <c:strCache>
                <c:ptCount val="1"/>
                <c:pt idx="0">
                  <c:v>系列 1</c:v>
                </c:pt>
              </c:strCache>
            </c:strRef>
          </c:tx>
          <c:spPr>
            <a:solidFill>
              <a:schemeClr val="accent1"/>
            </a:solidFill>
            <a:ln>
              <a:noFill/>
            </a:ln>
            <a:effectLst/>
          </c:spPr>
          <c:invertIfNegative val="0"/>
          <c:dLbls>
            <c:delete val="1"/>
          </c:dLbls>
          <c:cat>
            <c:strRef>
              <c:f>Sheet1!$A$2:$A$4</c:f>
              <c:strCache>
                <c:ptCount val="3"/>
                <c:pt idx="0">
                  <c:v>类别 1</c:v>
                </c:pt>
                <c:pt idx="1">
                  <c:v>类别 2</c:v>
                </c:pt>
                <c:pt idx="2">
                  <c:v>类别 3</c:v>
                </c:pt>
              </c:strCache>
            </c:strRef>
          </c:cat>
          <c:val>
            <c:numRef>
              <c:f>Sheet1!$B$2:$B$4</c:f>
              <c:numCache>
                <c:formatCode>General</c:formatCode>
                <c:ptCount val="3"/>
                <c:pt idx="0">
                  <c:v>4.3</c:v>
                </c:pt>
                <c:pt idx="1">
                  <c:v>2.5</c:v>
                </c:pt>
                <c:pt idx="2">
                  <c:v>3.5</c:v>
                </c:pt>
              </c:numCache>
            </c:numRef>
          </c:val>
        </c:ser>
        <c:ser>
          <c:idx val="1"/>
          <c:order val="1"/>
          <c:tx>
            <c:strRef>
              <c:f>Sheet1!$C$1</c:f>
              <c:strCache>
                <c:ptCount val="1"/>
                <c:pt idx="0">
                  <c:v>系列二</c:v>
                </c:pt>
              </c:strCache>
            </c:strRef>
          </c:tx>
          <c:spPr>
            <a:solidFill>
              <a:schemeClr val="accent2"/>
            </a:solidFill>
            <a:ln>
              <a:noFill/>
            </a:ln>
            <a:effectLst/>
          </c:spPr>
          <c:invertIfNegative val="0"/>
          <c:dLbls>
            <c:delete val="1"/>
          </c:dLbls>
          <c:cat>
            <c:strRef>
              <c:f>Sheet1!$A$2:$A$4</c:f>
              <c:strCache>
                <c:ptCount val="3"/>
                <c:pt idx="0">
                  <c:v>类别 1</c:v>
                </c:pt>
                <c:pt idx="1">
                  <c:v>类别 2</c:v>
                </c:pt>
                <c:pt idx="2">
                  <c:v>类别 3</c:v>
                </c:pt>
              </c:strCache>
            </c:strRef>
          </c:cat>
          <c:val>
            <c:numRef>
              <c:f>Sheet1!$C$2:$C$4</c:f>
              <c:numCache>
                <c:formatCode>General</c:formatCode>
                <c:ptCount val="3"/>
                <c:pt idx="0">
                  <c:v>2</c:v>
                </c:pt>
                <c:pt idx="1">
                  <c:v>3</c:v>
                </c:pt>
                <c:pt idx="2">
                  <c:v>4</c:v>
                </c:pt>
              </c:numCache>
            </c:numRef>
          </c:val>
        </c:ser>
        <c:dLbls>
          <c:showLegendKey val="0"/>
          <c:showVal val="0"/>
          <c:showCatName val="0"/>
          <c:showSerName val="0"/>
          <c:showPercent val="0"/>
          <c:showBubbleSize val="0"/>
        </c:dLbls>
        <c:gapWidth val="219"/>
        <c:overlap val="-27"/>
        <c:axId val="716133136"/>
        <c:axId val="716128336"/>
      </c:barChart>
      <c:catAx>
        <c:axId val="716133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16128336"/>
        <c:crosses val="autoZero"/>
        <c:auto val="1"/>
        <c:lblAlgn val="ctr"/>
        <c:lblOffset val="100"/>
        <c:noMultiLvlLbl val="0"/>
      </c:catAx>
      <c:valAx>
        <c:axId val="71612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161331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系列 2</c:v>
                </c:pt>
              </c:strCache>
            </c:strRef>
          </c:tx>
          <c:spPr>
            <a:ln w="28575" cap="rnd">
              <a:solidFill>
                <a:schemeClr val="accent2"/>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Sheet1!$C$2:$C$5</c:f>
              <c:numCache>
                <c:formatCode>General</c:formatCode>
                <c:ptCount val="4"/>
                <c:pt idx="0">
                  <c:v>2.4</c:v>
                </c:pt>
                <c:pt idx="1">
                  <c:v>4.4</c:v>
                </c:pt>
                <c:pt idx="2">
                  <c:v>1.8</c:v>
                </c:pt>
                <c:pt idx="3">
                  <c:v>2.8</c:v>
                </c:pt>
              </c:numCache>
            </c:numRef>
          </c:val>
          <c:smooth val="0"/>
        </c:ser>
        <c:ser>
          <c:idx val="2"/>
          <c:order val="2"/>
          <c:tx>
            <c:strRef>
              <c:f>Sheet1!$D$1</c:f>
              <c:strCache>
                <c:ptCount val="1"/>
                <c:pt idx="0">
                  <c:v>系列 3</c:v>
                </c:pt>
              </c:strCache>
            </c:strRef>
          </c:tx>
          <c:spPr>
            <a:ln w="28575" cap="rnd">
              <a:solidFill>
                <a:schemeClr val="accent3"/>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0"/>
        <c:smooth val="0"/>
        <c:axId val="650628361"/>
        <c:axId val="250831565"/>
      </c:lineChart>
      <c:catAx>
        <c:axId val="65062836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0831565"/>
        <c:crosses val="autoZero"/>
        <c:auto val="1"/>
        <c:lblAlgn val="ctr"/>
        <c:lblOffset val="100"/>
        <c:noMultiLvlLbl val="0"/>
      </c:catAx>
      <c:valAx>
        <c:axId val="2508315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062836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系列 2</c:v>
                </c:pt>
              </c:strCache>
            </c:strRef>
          </c:tx>
          <c:spPr>
            <a:ln w="28575" cap="rnd">
              <a:solidFill>
                <a:schemeClr val="accent2"/>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Sheet1!$C$2:$C$5</c:f>
              <c:numCache>
                <c:formatCode>General</c:formatCode>
                <c:ptCount val="4"/>
                <c:pt idx="0">
                  <c:v>2.4</c:v>
                </c:pt>
                <c:pt idx="1">
                  <c:v>4.4</c:v>
                </c:pt>
                <c:pt idx="2">
                  <c:v>1.8</c:v>
                </c:pt>
                <c:pt idx="3">
                  <c:v>2.8</c:v>
                </c:pt>
              </c:numCache>
            </c:numRef>
          </c:val>
          <c:smooth val="0"/>
        </c:ser>
        <c:ser>
          <c:idx val="2"/>
          <c:order val="2"/>
          <c:tx>
            <c:strRef>
              <c:f>Sheet1!$D$1</c:f>
              <c:strCache>
                <c:ptCount val="1"/>
                <c:pt idx="0">
                  <c:v>系列 3</c:v>
                </c:pt>
              </c:strCache>
            </c:strRef>
          </c:tx>
          <c:spPr>
            <a:ln w="28575" cap="rnd">
              <a:solidFill>
                <a:schemeClr val="accent3"/>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0"/>
        <c:smooth val="0"/>
        <c:axId val="196045890"/>
        <c:axId val="567486395"/>
      </c:lineChart>
      <c:catAx>
        <c:axId val="19604589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7486395"/>
        <c:crosses val="autoZero"/>
        <c:auto val="1"/>
        <c:lblAlgn val="ctr"/>
        <c:lblOffset val="100"/>
        <c:noMultiLvlLbl val="0"/>
      </c:catAx>
      <c:valAx>
        <c:axId val="5674863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604589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18</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2020-04-10T09:28:57Z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