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ai外呼赋能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一、背景&amp;目标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1、背景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当前线索加微率、到课率存在一定的提升空间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别是免费例子、内部例子用户质量相对较泛，目前内部流量渠道（主要为私域渠道）线索好友率只有60%~70%，自然加微率（指领取例子当下就立刻扫码加老师的用户数/线索数）仅有45%~55%不等，自然到课率（指自然到课学习的用户数/线索数）仅有20%~30%不等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销售跟进线索效率存在一定的提升空间，影响项目扩量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除去自然加微、自然到课的线索，其余线索需要销售人工挨个跟进用户催加微和催到课，十分费时费力，特别是在当期线索量较大的情况下，销售也无法及时地跟进触达好客户，导致跟进效率低。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2、目标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通过AI外呼的方式</w:t>
      </w:r>
      <w:r>
        <w:rPr>
          <w:rFonts w:eastAsia="等线" w:ascii="Arial" w:cs="Arial" w:hAnsi="Arial"/>
          <w:sz w:val="22"/>
          <w:u w:val="single"/>
        </w:rPr>
        <w:t>自动化、批量化</w:t>
      </w:r>
      <w:r>
        <w:rPr>
          <w:rFonts w:eastAsia="等线" w:ascii="Arial" w:cs="Arial" w:hAnsi="Arial"/>
          <w:sz w:val="22"/>
        </w:rPr>
        <w:t>触达用户，提高线索的加微率、到课率、完课率指标；同时</w:t>
      </w:r>
      <w:r>
        <w:rPr>
          <w:rFonts w:eastAsia="等线" w:ascii="Arial" w:cs="Arial" w:hAnsi="Arial"/>
          <w:sz w:val="22"/>
          <w:u w:val="single"/>
        </w:rPr>
        <w:t>减轻销售人力</w:t>
      </w:r>
      <w:r>
        <w:rPr>
          <w:rFonts w:eastAsia="等线" w:ascii="Arial" w:cs="Arial" w:hAnsi="Arial"/>
          <w:sz w:val="22"/>
        </w:rPr>
        <w:t>，提高线索跟进效率（及时性、精准性），将销售的时间精力更多聚焦在转化上，从而提高销售转化率。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3、已测试项目数据情况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加微率：内部流量渠道自然领课加微率在40%~55%不等，因此还</w:t>
      </w:r>
      <w:r>
        <w:rPr>
          <w:rFonts w:eastAsia="等线" w:ascii="Arial" w:cs="Arial" w:hAnsi="Arial"/>
          <w:b w:val="true"/>
          <w:color w:val="d83931"/>
          <w:sz w:val="22"/>
        </w:rPr>
        <w:t>有45%~60%的线索需要再进行触达回捞</w:t>
      </w:r>
      <w:r>
        <w:rPr>
          <w:rFonts w:eastAsia="等线" w:ascii="Arial" w:cs="Arial" w:hAnsi="Arial"/>
          <w:sz w:val="22"/>
        </w:rPr>
        <w:t>，经过AI外呼能触达到60%~65%的未加微用户，在接通的用户中，最终添加用户数占比为34%~45%（约等于外呼意向率），即接通且有意向的用户最后基本都添加了，即</w:t>
      </w:r>
      <w:r>
        <w:rPr>
          <w:rFonts w:eastAsia="等线" w:ascii="Arial" w:cs="Arial" w:hAnsi="Arial"/>
          <w:b w:val="true"/>
          <w:color w:val="d83931"/>
          <w:sz w:val="22"/>
        </w:rPr>
        <w:t>验证通过AI外呼，能代替人工外呼实现对意向用户的二次回捞。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课率：目前仅中医项目有在用AI外呼做催到课，测试期验证提升1个点的到课率数据，主要是起解放销售人力的作用，可以留意在工具替代人力催到课的情况下，销售是否能更多聚焦在用户转化上，从而有效提高销售转化率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成本：单个外呼线索成本（外呼总成本/未加微外呼数）0.06~0.08，单个加微成本（外呼成本/接通且加微数）0.28~0.38。单个线索催到课（包含多次）成本0.32~0.36。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过往中医和五禽戏项目使用AI外呼的数据如下表所示：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AI外呼催加微成本花费情况如下表所示：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二、AI外呼功能介绍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1、语音通知、人工外呼、AI外呼区别</w:t>
      </w:r>
      <w:bookmarkEnd w:id="5"/>
    </w:p>
    <w:p>
      <w:pPr>
        <w:spacing w:before="120" w:after="120" w:line="288" w:lineRule="auto"/>
        <w:ind w:left="0"/>
      </w:pPr>
      <w:r>
        <w:object>
          <v:shape id="_x0000_i1027" style="width:414pt;height:99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2、AI外呼功能介绍&amp;赋能分析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AI机器人多并发+未接自动重拨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批量、自动触达，</w:t>
      </w:r>
      <w:r>
        <w:rPr>
          <w:rFonts w:eastAsia="等线" w:ascii="Arial" w:cs="Arial" w:hAnsi="Arial"/>
          <w:b w:val="true"/>
          <w:color w:val="d83931"/>
          <w:sz w:val="22"/>
        </w:rPr>
        <w:t>手机号外显，接通率能达到60%+</w:t>
      </w:r>
      <w:r>
        <w:rPr>
          <w:rFonts w:eastAsia="等线" w:ascii="Arial" w:cs="Arial" w:hAnsi="Arial"/>
          <w:sz w:val="22"/>
        </w:rPr>
        <w:t>，触达效率和及时性有保障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多位优质录音师协作+音色可选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真实人声录制，</w:t>
      </w:r>
      <w:r>
        <w:rPr>
          <w:rFonts w:eastAsia="等线" w:ascii="Arial" w:cs="Arial" w:hAnsi="Arial"/>
          <w:b w:val="true"/>
          <w:color w:val="d83931"/>
          <w:sz w:val="22"/>
        </w:rPr>
        <w:t>模拟真人与用户进行通话交互，增强用户信任感</w:t>
      </w:r>
      <w:r>
        <w:rPr>
          <w:rFonts w:eastAsia="等线" w:ascii="Arial" w:cs="Arial" w:hAnsi="Arial"/>
          <w:sz w:val="22"/>
        </w:rPr>
        <w:t>，提高短信的打开率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用户通话意向标签分层功能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通过多轮交互精准判断用户意向，</w:t>
      </w:r>
      <w:r>
        <w:rPr>
          <w:rFonts w:eastAsia="等线" w:ascii="Arial" w:cs="Arial" w:hAnsi="Arial"/>
          <w:b w:val="true"/>
          <w:color w:val="d83931"/>
          <w:sz w:val="22"/>
        </w:rPr>
        <w:t>打上意向标签方便销售分层跟进，优先跟进A类高意向用户</w:t>
      </w:r>
      <w:r>
        <w:rPr>
          <w:rFonts w:eastAsia="等线" w:ascii="Arial" w:cs="Arial" w:hAnsi="Arial"/>
          <w:sz w:val="22"/>
        </w:rPr>
        <w:t>，提高精准度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其他功能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话术多变量方便项目测试、挂机短信等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三、目前使用场景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1、建议运营模式（双管齐下）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1-1、</w:t>
      </w:r>
      <w:r>
        <w:rPr>
          <w:rFonts w:eastAsia="等线" w:ascii="Arial" w:cs="Arial" w:hAnsi="Arial"/>
          <w:b w:val="true"/>
          <w:color w:val="d83931"/>
          <w:sz w:val="30"/>
        </w:rPr>
        <w:t>自动催加微</w:t>
      </w:r>
      <w:r>
        <w:rPr>
          <w:rFonts w:eastAsia="等线" w:ascii="Arial" w:cs="Arial" w:hAnsi="Arial"/>
          <w:b w:val="true"/>
          <w:sz w:val="30"/>
        </w:rPr>
        <w:t>：</w:t>
      </w:r>
      <w:r>
        <w:rPr>
          <w:rFonts w:eastAsia="等线" w:ascii="Arial" w:cs="Arial" w:hAnsi="Arial"/>
          <w:b w:val="true"/>
          <w:sz w:val="30"/>
        </w:rPr>
        <w:t>绑定渠道</w:t>
      </w:r>
      <w:r>
        <w:rPr>
          <w:rFonts w:eastAsia="等线" w:ascii="Arial" w:cs="Arial" w:hAnsi="Arial"/>
          <w:b w:val="true"/>
          <w:sz w:val="30"/>
        </w:rPr>
        <w:t>模板3分钟未加好友自动AI外呼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由运营统筹统一配置渠道模板，配置要点：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推送场景选【购买成功后</w:t>
      </w:r>
      <w:r>
        <w:rPr>
          <w:rFonts w:eastAsia="等线" w:ascii="Arial" w:cs="Arial" w:hAnsi="Arial"/>
          <w:color w:val="d83931"/>
          <w:sz w:val="22"/>
          <w:u w:val="single"/>
        </w:rPr>
        <w:t>3分钟未加好友</w:t>
      </w:r>
      <w:r>
        <w:rPr>
          <w:rFonts w:eastAsia="等线" w:ascii="Arial" w:cs="Arial" w:hAnsi="Arial"/>
          <w:sz w:val="22"/>
        </w:rPr>
        <w:t>】，</w:t>
      </w:r>
      <w:r>
        <w:rPr>
          <w:rFonts w:eastAsia="等线" w:ascii="Arial" w:cs="Arial" w:hAnsi="Arial"/>
          <w:color w:val="d83931"/>
          <w:sz w:val="22"/>
          <w:u w:val="single"/>
        </w:rPr>
        <w:t>同时配置短信+AI外呼</w:t>
      </w:r>
      <w:r>
        <w:rPr>
          <w:rFonts w:eastAsia="等线" w:ascii="Arial" w:cs="Arial" w:hAnsi="Arial"/>
          <w:sz w:val="22"/>
        </w:rPr>
        <w:t>；再建一个渠道模板推送场景选【购买成功后</w:t>
      </w:r>
      <w:r>
        <w:rPr>
          <w:rFonts w:eastAsia="等线" w:ascii="Arial" w:cs="Arial" w:hAnsi="Arial"/>
          <w:color w:val="d83931"/>
          <w:sz w:val="22"/>
          <w:u w:val="single"/>
        </w:rPr>
        <w:t>1小时未加好友</w:t>
      </w:r>
      <w:r>
        <w:rPr>
          <w:rFonts w:eastAsia="等线" w:ascii="Arial" w:cs="Arial" w:hAnsi="Arial"/>
          <w:sz w:val="22"/>
        </w:rPr>
        <w:t>】，</w:t>
      </w:r>
      <w:r>
        <w:rPr>
          <w:rFonts w:eastAsia="等线" w:ascii="Arial" w:cs="Arial" w:hAnsi="Arial"/>
          <w:color w:val="d83931"/>
          <w:sz w:val="22"/>
          <w:u w:val="single"/>
        </w:rPr>
        <w:t>配置短信</w:t>
      </w:r>
      <w:r>
        <w:rPr>
          <w:rFonts w:eastAsia="等线" w:ascii="Arial" w:cs="Arial" w:hAnsi="Arial"/>
          <w:sz w:val="22"/>
        </w:rPr>
        <w:t>。多个推送场景则建多少渠道模板，不冲突的。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推送渠道需要选到三级，每个三级渠道建分别建1个模板，</w:t>
      </w:r>
      <w:r>
        <w:rPr>
          <w:rFonts w:eastAsia="等线" w:ascii="Arial" w:cs="Arial" w:hAnsi="Arial"/>
          <w:color w:val="d83931"/>
          <w:sz w:val="22"/>
          <w:u w:val="single"/>
        </w:rPr>
        <w:t>短信中配置特训营链接别用其他链接</w:t>
      </w:r>
      <w:r>
        <w:rPr>
          <w:rFonts w:eastAsia="等线" w:ascii="Arial" w:cs="Arial" w:hAnsi="Arial"/>
          <w:sz w:val="22"/>
        </w:rPr>
        <w:t>，这样用户点击链接跳转路径最短。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外呼任务选【定时启动】，重拨策略可选【重拨2次，间隔30分钟】。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1-1、</w:t>
      </w:r>
      <w:r>
        <w:rPr>
          <w:rFonts w:eastAsia="等线" w:ascii="Arial" w:cs="Arial" w:hAnsi="Arial"/>
          <w:b w:val="true"/>
          <w:color w:val="d83931"/>
          <w:sz w:val="30"/>
        </w:rPr>
        <w:t>自动催加微</w:t>
      </w:r>
      <w:r>
        <w:rPr>
          <w:rFonts w:eastAsia="等线" w:ascii="Arial" w:cs="Arial" w:hAnsi="Arial"/>
          <w:b w:val="true"/>
          <w:sz w:val="30"/>
        </w:rPr>
        <w:t>：</w:t>
      </w:r>
      <w:r>
        <w:rPr>
          <w:rFonts w:eastAsia="等线" w:ascii="Arial" w:cs="Arial" w:hAnsi="Arial"/>
          <w:b w:val="true"/>
          <w:sz w:val="30"/>
        </w:rPr>
        <w:t>绑定渠道</w:t>
      </w:r>
      <w:r>
        <w:rPr>
          <w:rFonts w:eastAsia="等线" w:ascii="Arial" w:cs="Arial" w:hAnsi="Arial"/>
          <w:b w:val="true"/>
          <w:sz w:val="30"/>
        </w:rPr>
        <w:t>模板3分钟未加好友自动AI外呼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由运营统筹统一配置渠道模板，配置要点：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推送场景选【购买成功后</w:t>
      </w:r>
      <w:r>
        <w:rPr>
          <w:rFonts w:eastAsia="等线" w:ascii="Arial" w:cs="Arial" w:hAnsi="Arial"/>
          <w:color w:val="d83931"/>
          <w:sz w:val="22"/>
          <w:u w:val="single"/>
        </w:rPr>
        <w:t>3分钟未加好友</w:t>
      </w:r>
      <w:r>
        <w:rPr>
          <w:rFonts w:eastAsia="等线" w:ascii="Arial" w:cs="Arial" w:hAnsi="Arial"/>
          <w:sz w:val="22"/>
        </w:rPr>
        <w:t>】，</w:t>
      </w:r>
      <w:r>
        <w:rPr>
          <w:rFonts w:eastAsia="等线" w:ascii="Arial" w:cs="Arial" w:hAnsi="Arial"/>
          <w:color w:val="d83931"/>
          <w:sz w:val="22"/>
          <w:u w:val="single"/>
        </w:rPr>
        <w:t>同时配置短信+AI外呼</w:t>
      </w:r>
      <w:r>
        <w:rPr>
          <w:rFonts w:eastAsia="等线" w:ascii="Arial" w:cs="Arial" w:hAnsi="Arial"/>
          <w:sz w:val="22"/>
        </w:rPr>
        <w:t>；再建一个渠道模板推送场景选【购买成功后</w:t>
      </w:r>
      <w:r>
        <w:rPr>
          <w:rFonts w:eastAsia="等线" w:ascii="Arial" w:cs="Arial" w:hAnsi="Arial"/>
          <w:color w:val="d83931"/>
          <w:sz w:val="22"/>
          <w:u w:val="single"/>
        </w:rPr>
        <w:t>1小时未加好友</w:t>
      </w:r>
      <w:r>
        <w:rPr>
          <w:rFonts w:eastAsia="等线" w:ascii="Arial" w:cs="Arial" w:hAnsi="Arial"/>
          <w:sz w:val="22"/>
        </w:rPr>
        <w:t>】，</w:t>
      </w:r>
      <w:r>
        <w:rPr>
          <w:rFonts w:eastAsia="等线" w:ascii="Arial" w:cs="Arial" w:hAnsi="Arial"/>
          <w:color w:val="d83931"/>
          <w:sz w:val="22"/>
          <w:u w:val="single"/>
        </w:rPr>
        <w:t>配置短信</w:t>
      </w:r>
      <w:r>
        <w:rPr>
          <w:rFonts w:eastAsia="等线" w:ascii="Arial" w:cs="Arial" w:hAnsi="Arial"/>
          <w:sz w:val="22"/>
        </w:rPr>
        <w:t>。多个推送场景则建多少渠道模板，不冲突的。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推送渠道需要选到三级，每个三级渠道建分别建1个模板，</w:t>
      </w:r>
      <w:r>
        <w:rPr>
          <w:rFonts w:eastAsia="等线" w:ascii="Arial" w:cs="Arial" w:hAnsi="Arial"/>
          <w:color w:val="d83931"/>
          <w:sz w:val="22"/>
          <w:u w:val="single"/>
        </w:rPr>
        <w:t>短信中配置特训营链接别用其他链接</w:t>
      </w:r>
      <w:r>
        <w:rPr>
          <w:rFonts w:eastAsia="等线" w:ascii="Arial" w:cs="Arial" w:hAnsi="Arial"/>
          <w:sz w:val="22"/>
        </w:rPr>
        <w:t>，这样用户点击链接跳转路径最短。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外呼任务选【定时启动】，重拨策略可选【重拨2次，间隔30分钟】。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815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005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1-2、</w:t>
      </w:r>
      <w:r>
        <w:rPr>
          <w:rFonts w:eastAsia="等线" w:ascii="Arial" w:cs="Arial" w:hAnsi="Arial"/>
          <w:b w:val="true"/>
          <w:color w:val="d83931"/>
          <w:sz w:val="30"/>
        </w:rPr>
        <w:t>手动催加微&amp;催到课&amp;催完课</w:t>
      </w:r>
      <w:r>
        <w:rPr>
          <w:rFonts w:eastAsia="等线" w:ascii="Arial" w:cs="Arial" w:hAnsi="Arial"/>
          <w:b w:val="true"/>
          <w:sz w:val="30"/>
        </w:rPr>
        <w:t>：销售人工筛选线索手动AI外呼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给项目内销售开通学员学情表下的【AI外呼】按钮和【触达管理】下的【AI外呼记录】权限，让销售筛选自己名下的线索进行外呼触达，配置要点：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由运营统筹统一在百应后台创建外呼任务，销售不参与创建。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  <w:u w:val="single"/>
        </w:rPr>
        <w:t>销售先群发一遍短信，再进行AI外呼</w:t>
      </w:r>
      <w:r>
        <w:rPr>
          <w:rFonts w:eastAsia="等线" w:ascii="Arial" w:cs="Arial" w:hAnsi="Arial"/>
          <w:color w:val="d83931"/>
          <w:sz w:val="22"/>
        </w:rPr>
        <w:t>，</w:t>
      </w:r>
      <w:r>
        <w:rPr>
          <w:rFonts w:eastAsia="等线" w:ascii="Arial" w:cs="Arial" w:hAnsi="Arial"/>
          <w:sz w:val="22"/>
        </w:rPr>
        <w:t>短信可放销售自己手机号，</w:t>
      </w:r>
      <w:r>
        <w:rPr>
          <w:rFonts w:eastAsia="等线" w:ascii="Arial" w:cs="Arial" w:hAnsi="Arial"/>
          <w:color w:val="d83931"/>
          <w:sz w:val="22"/>
          <w:u w:val="single"/>
        </w:rPr>
        <w:t>引导用户复制手机号添加。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销售在【运营管理-触达管理-AI外呼记录】可以</w:t>
      </w:r>
      <w:r>
        <w:rPr>
          <w:rFonts w:eastAsia="等线" w:ascii="Arial" w:cs="Arial" w:hAnsi="Arial"/>
          <w:color w:val="d83931"/>
          <w:sz w:val="22"/>
          <w:u w:val="single"/>
        </w:rPr>
        <w:t>筛选A类意向标签优先跟进高意向用户，听用户通话录音。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外呼任务选【定时启动】，重拨策略可选【重拨2次，间隔30分钟】。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2、结合渠道模板AI外呼（自动）</w:t>
      </w:r>
      <w:bookmarkEnd w:id="1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使用场景说明：</w:t>
      </w:r>
      <w:r>
        <w:rPr>
          <w:rFonts w:eastAsia="等线" w:ascii="Arial" w:cs="Arial" w:hAnsi="Arial"/>
          <w:sz w:val="22"/>
        </w:rPr>
        <w:t>需要</w:t>
      </w:r>
      <w:r>
        <w:rPr>
          <w:rFonts w:eastAsia="等线" w:ascii="Arial" w:cs="Arial" w:hAnsi="Arial"/>
          <w:b w:val="true"/>
          <w:color w:val="d83931"/>
          <w:sz w:val="22"/>
        </w:rPr>
        <w:t>绑定线索的渠道</w:t>
      </w:r>
      <w:r>
        <w:rPr>
          <w:rFonts w:eastAsia="等线" w:ascii="Arial" w:cs="Arial" w:hAnsi="Arial"/>
          <w:sz w:val="22"/>
        </w:rPr>
        <w:t>，实现在用户领取体验课后的一系列节点</w:t>
      </w:r>
      <w:r>
        <w:rPr>
          <w:rFonts w:eastAsia="等线" w:ascii="Arial" w:cs="Arial" w:hAnsi="Arial"/>
          <w:b w:val="true"/>
          <w:color w:val="d83931"/>
          <w:sz w:val="22"/>
        </w:rPr>
        <w:t>自动下发</w:t>
      </w:r>
      <w:r>
        <w:rPr>
          <w:rFonts w:eastAsia="等线" w:ascii="Arial" w:cs="Arial" w:hAnsi="Arial"/>
          <w:sz w:val="22"/>
        </w:rPr>
        <w:t>短信+AI外呼（</w:t>
      </w:r>
      <w:r>
        <w:rPr>
          <w:rFonts w:eastAsia="等线" w:ascii="Arial" w:cs="Arial" w:hAnsi="Arial"/>
          <w:b w:val="true"/>
          <w:color w:val="d83931"/>
          <w:sz w:val="22"/>
        </w:rPr>
        <w:t>只针对有设置渠道模板的渠道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目前只有针对加微的场景（购买成功后3分钟未加好友、购买成功后1小时未加好友、购买成功后当天未加好友、购买成功后第二天未加好友、购买成功后当天未加好友）催到课的场景需要产品开发。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配置说明：</w:t>
      </w:r>
      <w:r>
        <w:rPr>
          <w:rFonts w:eastAsia="等线" w:ascii="Arial" w:cs="Arial" w:hAnsi="Arial"/>
          <w:sz w:val="22"/>
        </w:rPr>
        <w:t>一般由项目的运营统筹/运营助理统一配置，需要开通【运营管理-短信管理-渠道模板】的权限；需要提前在百应外呼后台建好相应的外呼任务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3、学员学情表AI外呼（销售手动）</w:t>
      </w:r>
      <w:bookmarkEnd w:id="13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使用场景说明：</w:t>
      </w:r>
      <w:r>
        <w:rPr>
          <w:rFonts w:eastAsia="等线" w:ascii="Arial" w:cs="Arial" w:hAnsi="Arial"/>
          <w:sz w:val="22"/>
        </w:rPr>
        <w:t>销售侧在【兴趣岛系统-售前管理-销售工作台-学员学情表】中自定义筛选销售自己名下需要跟进的线索进行AI外呼（</w:t>
      </w:r>
      <w:r>
        <w:rPr>
          <w:rFonts w:eastAsia="等线" w:ascii="Arial" w:cs="Arial" w:hAnsi="Arial"/>
          <w:b w:val="true"/>
          <w:color w:val="d83931"/>
          <w:sz w:val="22"/>
        </w:rPr>
        <w:t>可针对全量线索、每一期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配置说明：</w:t>
      </w:r>
      <w:r>
        <w:rPr>
          <w:rFonts w:eastAsia="等线" w:ascii="Arial" w:cs="Arial" w:hAnsi="Arial"/>
          <w:sz w:val="22"/>
        </w:rPr>
        <w:t>可以由运营统筹给销售统一培训使用后，给每个销售开通学员学情表中的【AI外呼】按钮权限以及【触达管理】下的【AI外呼记录】权限；需要提前在百应外呼后台建好相应的外呼任务。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四、使用流程</w:t>
      </w:r>
      <w:bookmarkEnd w:id="14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5" o:title=""/>
          </v:shape>
          <o:OLEObject DrawAspect="Icon" ObjectID="_1718471222" ProgID="Excel.Sheet.12" ShapeID="_x0000_i1028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【腾讯文档】项目AI外呼催加微&amp;催到课流程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https://docs.qq.com/sheet/DVG1qSUNNWVh6U1BX?tab=BB08J2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【腾讯文档】百应外呼-新项目使用流程规范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https://docs.qq.com/doc/DVEh6bGFCSmNad21s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五、数据验证方案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对于AI外呼赋能提效的衡量标准：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是否对整体加微率、到课率、转化率数据有提升，具体提升了多少——项目端及私域端均可单独拉渠道进行数据监测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是否有减轻销售对应的催加微&amp;催到课人力——需要各项目负责人内部进行评估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针对衡量标准第1条，各项目组可根据实际情况决定是否对AI外呼渠道的数据进行单独监测，这里可提供测试思路如下：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1、拉1条量级合适的渠道（例如：千聊内部-矩阵私域-接量2-生活）安排1个销售专接，确保线索都归在该销售名下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2、在we-work活码后台设置渠道活码，配置该销售接量号，标签可设置为“AI外呼”，下载活码二维码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3、在【兴趣岛系统-售前管理-销售人员档案】将该销售的加微海报二维码更换为第2步的活码二维码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4、正常配置渠道模板和AI外呼，最终拉取企业标签为“AI外呼”的客户数据/总线索数，即为AI外呼渠道的添加率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5、注：若销售端使用【学员学情表】里的AI外呼功能，也需要进行数据监测</w:t>
      </w: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82740">
    <w:lvl>
      <w:numFmt w:val="bullet"/>
      <w:suff w:val="tab"/>
      <w:lvlText w:val="•"/>
      <w:rPr>
        <w:color w:val="3370ff"/>
      </w:rPr>
    </w:lvl>
  </w:abstractNum>
  <w:abstractNum w:abstractNumId="1182741">
    <w:lvl>
      <w:numFmt w:val="bullet"/>
      <w:suff w:val="tab"/>
      <w:lvlText w:val="•"/>
      <w:rPr>
        <w:color w:val="3370ff"/>
      </w:rPr>
    </w:lvl>
  </w:abstractNum>
  <w:abstractNum w:abstractNumId="1182742">
    <w:lvl>
      <w:numFmt w:val="bullet"/>
      <w:suff w:val="tab"/>
      <w:lvlText w:val="•"/>
      <w:rPr>
        <w:color w:val="3370ff"/>
      </w:rPr>
    </w:lvl>
  </w:abstractNum>
  <w:abstractNum w:abstractNumId="1182743">
    <w:lvl>
      <w:numFmt w:val="bullet"/>
      <w:suff w:val="tab"/>
      <w:lvlText w:val="•"/>
      <w:rPr>
        <w:color w:val="3370ff"/>
      </w:rPr>
    </w:lvl>
  </w:abstractNum>
  <w:abstractNum w:abstractNumId="1182744">
    <w:lvl>
      <w:numFmt w:val="bullet"/>
      <w:suff w:val="tab"/>
      <w:lvlText w:val="•"/>
      <w:rPr>
        <w:color w:val="3370ff"/>
      </w:rPr>
    </w:lvl>
  </w:abstractNum>
  <w:abstractNum w:abstractNumId="1182745">
    <w:lvl>
      <w:numFmt w:val="bullet"/>
      <w:suff w:val="tab"/>
      <w:lvlText w:val="•"/>
      <w:rPr>
        <w:color w:val="3370ff"/>
      </w:rPr>
    </w:lvl>
  </w:abstractNum>
  <w:abstractNum w:abstractNumId="1182746">
    <w:lvl>
      <w:numFmt w:val="bullet"/>
      <w:suff w:val="tab"/>
      <w:lvlText w:val="￮"/>
      <w:rPr>
        <w:color w:val="3370ff"/>
      </w:rPr>
    </w:lvl>
  </w:abstractNum>
  <w:abstractNum w:abstractNumId="1182747">
    <w:lvl>
      <w:numFmt w:val="bullet"/>
      <w:suff w:val="tab"/>
      <w:lvlText w:val="•"/>
      <w:rPr>
        <w:color w:val="3370ff"/>
      </w:rPr>
    </w:lvl>
  </w:abstractNum>
  <w:abstractNum w:abstractNumId="1182748">
    <w:lvl>
      <w:numFmt w:val="bullet"/>
      <w:suff w:val="tab"/>
      <w:lvlText w:val="￮"/>
      <w:rPr>
        <w:color w:val="3370ff"/>
      </w:rPr>
    </w:lvl>
  </w:abstractNum>
  <w:abstractNum w:abstractNumId="1182749">
    <w:lvl>
      <w:numFmt w:val="bullet"/>
      <w:suff w:val="tab"/>
      <w:lvlText w:val="•"/>
      <w:rPr>
        <w:color w:val="3370ff"/>
      </w:rPr>
    </w:lvl>
  </w:abstractNum>
  <w:abstractNum w:abstractNumId="1182750">
    <w:lvl>
      <w:numFmt w:val="bullet"/>
      <w:suff w:val="tab"/>
      <w:lvlText w:val="￮"/>
      <w:rPr>
        <w:color w:val="3370ff"/>
      </w:rPr>
    </w:lvl>
  </w:abstractNum>
  <w:abstractNum w:abstractNumId="1182751">
    <w:lvl>
      <w:numFmt w:val="bullet"/>
      <w:suff w:val="tab"/>
      <w:lvlText w:val="•"/>
      <w:rPr>
        <w:color w:val="3370ff"/>
      </w:rPr>
    </w:lvl>
  </w:abstractNum>
  <w:abstractNum w:abstractNumId="1182752">
    <w:lvl>
      <w:numFmt w:val="bullet"/>
      <w:suff w:val="tab"/>
      <w:lvlText w:val="￮"/>
      <w:rPr>
        <w:color w:val="3370ff"/>
      </w:rPr>
    </w:lvl>
  </w:abstractNum>
  <w:abstractNum w:abstractNumId="1182753">
    <w:lvl>
      <w:numFmt w:val="bullet"/>
      <w:suff w:val="tab"/>
      <w:lvlText w:val="•"/>
      <w:rPr>
        <w:color w:val="3370ff"/>
      </w:rPr>
    </w:lvl>
  </w:abstractNum>
  <w:abstractNum w:abstractNumId="1182754">
    <w:lvl>
      <w:numFmt w:val="bullet"/>
      <w:suff w:val="tab"/>
      <w:lvlText w:val="•"/>
      <w:rPr>
        <w:color w:val="3370ff"/>
      </w:rPr>
    </w:lvl>
  </w:abstractNum>
  <w:abstractNum w:abstractNumId="1182755">
    <w:lvl>
      <w:numFmt w:val="bullet"/>
      <w:suff w:val="tab"/>
      <w:lvlText w:val="•"/>
      <w:rPr>
        <w:color w:val="3370ff"/>
      </w:rPr>
    </w:lvl>
  </w:abstractNum>
  <w:abstractNum w:abstractNumId="1182756">
    <w:lvl>
      <w:numFmt w:val="bullet"/>
      <w:suff w:val="tab"/>
      <w:lvlText w:val="•"/>
      <w:rPr>
        <w:color w:val="3370ff"/>
      </w:rPr>
    </w:lvl>
  </w:abstractNum>
  <w:abstractNum w:abstractNumId="1182757">
    <w:lvl>
      <w:numFmt w:val="bullet"/>
      <w:suff w:val="tab"/>
      <w:lvlText w:val="•"/>
      <w:rPr>
        <w:color w:val="3370ff"/>
      </w:rPr>
    </w:lvl>
  </w:abstractNum>
  <w:abstractNum w:abstractNumId="1182758">
    <w:lvl>
      <w:numFmt w:val="bullet"/>
      <w:suff w:val="tab"/>
      <w:lvlText w:val="•"/>
      <w:rPr>
        <w:color w:val="3370ff"/>
      </w:rPr>
    </w:lvl>
  </w:abstractNum>
  <w:abstractNum w:abstractNumId="1182759">
    <w:lvl>
      <w:numFmt w:val="bullet"/>
      <w:suff w:val="tab"/>
      <w:lvlText w:val="•"/>
      <w:rPr>
        <w:color w:val="3370ff"/>
      </w:rPr>
    </w:lvl>
  </w:abstractNum>
  <w:abstractNum w:abstractNumId="1182760">
    <w:lvl>
      <w:numFmt w:val="bullet"/>
      <w:suff w:val="tab"/>
      <w:lvlText w:val="•"/>
      <w:rPr>
        <w:color w:val="3370ff"/>
      </w:rPr>
    </w:lvl>
  </w:abstractNum>
  <w:abstractNum w:abstractNumId="1182761">
    <w:lvl>
      <w:numFmt w:val="bullet"/>
      <w:suff w:val="tab"/>
      <w:lvlText w:val="•"/>
      <w:rPr>
        <w:color w:val="3370ff"/>
      </w:rPr>
    </w:lvl>
  </w:abstractNum>
  <w:abstractNum w:abstractNumId="1182762">
    <w:lvl>
      <w:numFmt w:val="bullet"/>
      <w:suff w:val="tab"/>
      <w:lvlText w:val="•"/>
      <w:rPr>
        <w:color w:val="3370ff"/>
      </w:rPr>
    </w:lvl>
  </w:abstractNum>
  <w:abstractNum w:abstractNumId="1182763">
    <w:lvl>
      <w:numFmt w:val="bullet"/>
      <w:suff w:val="tab"/>
      <w:lvlText w:val="•"/>
      <w:rPr>
        <w:color w:val="3370ff"/>
      </w:rPr>
    </w:lvl>
  </w:abstractNum>
  <w:abstractNum w:abstractNumId="1182764">
    <w:lvl>
      <w:numFmt w:val="bullet"/>
      <w:suff w:val="tab"/>
      <w:lvlText w:val="￮"/>
      <w:rPr>
        <w:color w:val="3370ff"/>
      </w:rPr>
    </w:lvl>
  </w:abstractNum>
  <w:abstractNum w:abstractNumId="1182765">
    <w:lvl>
      <w:numFmt w:val="bullet"/>
      <w:suff w:val="tab"/>
      <w:lvlText w:val="•"/>
      <w:rPr>
        <w:color w:val="3370ff"/>
      </w:rPr>
    </w:lvl>
  </w:abstractNum>
  <w:abstractNum w:abstractNumId="1182766">
    <w:lvl>
      <w:numFmt w:val="bullet"/>
      <w:suff w:val="tab"/>
      <w:lvlText w:val="•"/>
      <w:rPr>
        <w:color w:val="3370ff"/>
      </w:rPr>
    </w:lvl>
  </w:abstractNum>
  <w:abstractNum w:abstractNumId="1182767">
    <w:lvl>
      <w:numFmt w:val="bullet"/>
      <w:suff w:val="tab"/>
      <w:lvlText w:val="•"/>
      <w:rPr>
        <w:color w:val="3370ff"/>
      </w:rPr>
    </w:lvl>
  </w:abstractNum>
  <w:abstractNum w:abstractNumId="1182768">
    <w:lvl>
      <w:numFmt w:val="bullet"/>
      <w:suff w:val="tab"/>
      <w:lvlText w:val="•"/>
      <w:rPr>
        <w:color w:val="3370ff"/>
      </w:rPr>
    </w:lvl>
  </w:abstractNum>
  <w:abstractNum w:abstractNumId="1182769">
    <w:lvl>
      <w:numFmt w:val="bullet"/>
      <w:suff w:val="tab"/>
      <w:lvlText w:val="•"/>
      <w:rPr>
        <w:color w:val="3370ff"/>
      </w:rPr>
    </w:lvl>
  </w:abstractNum>
  <w:num w:numId="1">
    <w:abstractNumId w:val="1182740"/>
  </w:num>
  <w:num w:numId="2">
    <w:abstractNumId w:val="1182741"/>
  </w:num>
  <w:num w:numId="3">
    <w:abstractNumId w:val="1182742"/>
  </w:num>
  <w:num w:numId="4">
    <w:abstractNumId w:val="1182743"/>
  </w:num>
  <w:num w:numId="5">
    <w:abstractNumId w:val="1182744"/>
  </w:num>
  <w:num w:numId="6">
    <w:abstractNumId w:val="1182745"/>
  </w:num>
  <w:num w:numId="7">
    <w:abstractNumId w:val="1182746"/>
  </w:num>
  <w:num w:numId="8">
    <w:abstractNumId w:val="1182747"/>
  </w:num>
  <w:num w:numId="9">
    <w:abstractNumId w:val="1182748"/>
  </w:num>
  <w:num w:numId="10">
    <w:abstractNumId w:val="1182749"/>
  </w:num>
  <w:num w:numId="11">
    <w:abstractNumId w:val="1182750"/>
  </w:num>
  <w:num w:numId="12">
    <w:abstractNumId w:val="1182751"/>
  </w:num>
  <w:num w:numId="13">
    <w:abstractNumId w:val="1182752"/>
  </w:num>
  <w:num w:numId="14">
    <w:abstractNumId w:val="1182753"/>
  </w:num>
  <w:num w:numId="15">
    <w:abstractNumId w:val="1182754"/>
  </w:num>
  <w:num w:numId="16">
    <w:abstractNumId w:val="1182755"/>
  </w:num>
  <w:num w:numId="17">
    <w:abstractNumId w:val="1182756"/>
  </w:num>
  <w:num w:numId="18">
    <w:abstractNumId w:val="1182757"/>
  </w:num>
  <w:num w:numId="19">
    <w:abstractNumId w:val="1182758"/>
  </w:num>
  <w:num w:numId="20">
    <w:abstractNumId w:val="1182759"/>
  </w:num>
  <w:num w:numId="21">
    <w:abstractNumId w:val="1182760"/>
  </w:num>
  <w:num w:numId="22">
    <w:abstractNumId w:val="1182761"/>
  </w:num>
  <w:num w:numId="23">
    <w:abstractNumId w:val="1182762"/>
  </w:num>
  <w:num w:numId="24">
    <w:abstractNumId w:val="1182763"/>
  </w:num>
  <w:num w:numId="25">
    <w:abstractNumId w:val="1182764"/>
  </w:num>
  <w:num w:numId="26">
    <w:abstractNumId w:val="1182765"/>
  </w:num>
  <w:num w:numId="27">
    <w:abstractNumId w:val="1182766"/>
  </w:num>
  <w:num w:numId="28">
    <w:abstractNumId w:val="1182767"/>
  </w:num>
  <w:num w:numId="29">
    <w:abstractNumId w:val="1182768"/>
  </w:num>
  <w:num w:numId="30">
    <w:abstractNumId w:val="11827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embeddings/Microsoft_Excel_Worksheet4.xlsx" Type="http://schemas.openxmlformats.org/officeDocument/2006/relationships/package"/><Relationship Id="rId15" Target="media/image7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2026-04-26T05:22:39Z</dcterms:created>
  <dc:creator>Apache POI</dc:creator>
</cp:coreProperties>
</file>