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 w:line="312"/>
        <w:jc w:val="center"/>
      </w:pPr>
      <w:r>
        <w:rPr>
          <w:b/>
          <w:bCs/>
          <w:color w:val="0B1220"/>
          <w:sz w:val="36"/>
          <w:szCs w:val="36"/>
          <w:rFonts w:ascii="Calibri" w:eastAsia="SimHei"/>
        </w:rPr>
        <w:t xml:space="preserve">油气站场仪表参数读取与运行记录规范</w:t>
      </w:r>
    </w:p>
    <w:p>
      <w:pPr>
        <w:spacing w:after="160" w:line="312"/>
        <w:jc w:val="center"/>
      </w:pPr>
      <w:r>
        <w:rPr>
          <w:color w:val="506070"/>
          <w:sz w:val="24"/>
          <w:szCs w:val="24"/>
          <w:rFonts w:ascii="Calibri" w:eastAsia="Microsoft YaHei"/>
        </w:rPr>
        <w:t xml:space="preserve">（教学模拟资料）</w:t>
      </w:r>
    </w:p>
    <w:p>
      <w:pPr>
        <w:spacing w:line="312" w:after="120"/>
        <w:ind w:firstLine="420"/>
        <w:jc w:val="both"/>
      </w:pPr>
      <w:r>
        <w:rPr>
          <w:i/>
          <w:iCs/>
          <w:color w:val="506070"/>
          <w:sz w:val="21"/>
          <w:szCs w:val="21"/>
          <w:rFonts w:ascii="Calibri" w:eastAsia="Microsoft YaHei"/>
        </w:rPr>
        <w:t xml:space="preserve">声明：本资料为脱敏教学模拟内容，仅供油气储运工程专业教学与系统功能演示，不代替任何正式标准、检定规程或企业操作规程的真实条文。文中数值如未标注均为教学模拟值。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第一章 压力仪表读取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1.1 弹簧管压力表结构与原理</w:t>
      </w:r>
    </w:p>
    <w:p>
      <w:pPr>
        <w:spacing w:line="312" w:after="60"/>
        <w:ind w:firstLine="42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弹簧管压力表是站场最常见的就地压力仪表，由弹簧管（波登管）、连杆与机芯齿轮、指针与表盘、外壳组成。被测压力进入弹簧管使截面趋于圆形，自由端产生位移，经机芯放大后带动指针偏转指示压力。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1.2 量程选择与读数要点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量程选择：正常工作压力宜位于量程的三分之一至三分之二区间；压力脉动场合读数宜位于量程三分之一至二分之一区间。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读数步骤：先确认表盘单位与量程分度，再使视线与指针及刻度面垂直，按最小分度估读一位。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状态检查：表盘玻璃清晰无破损，铅封与检定合格标识在有效期内，指针无卡滞，释压后指针应回零位。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1.3 压力单位与换算</w:t>
      </w:r>
    </w:p>
    <w:p>
      <w:pPr>
        <w:spacing w:line="312" w:after="60"/>
        <w:ind w:firstLine="42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站场常用压力单位为 MPa 与 kPa，历史记录与进口设备表盘可能见到其他单位，读数记录时应以法定计量单位换算登记。</w:t>
      </w:r>
    </w:p>
    <w:p>
      <w:pPr>
        <w:keepNext/>
        <w:spacing w:before="160" w:after="80" w:line="312"/>
      </w:pPr>
      <w:r>
        <w:rPr>
          <w:b/>
          <w:bCs/>
          <w:color w:val="0B1220"/>
          <w:sz w:val="21"/>
          <w:szCs w:val="21"/>
          <w:rFonts w:ascii="Calibri" w:eastAsia="Microsoft YaHei"/>
        </w:rPr>
        <w:t xml:space="preserve">表1 常用压力单位换算表（教学常用近似关系）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单位</w:t>
            </w:r>
          </w:p>
        </w:tc>
        <w:tc>
          <w:tcPr>
            <w:tcW w:type="pct" w:w="30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与 MPa 的关系</w:t>
            </w:r>
          </w:p>
        </w:tc>
        <w:tc>
          <w:tcPr>
            <w:tcW w:type="pct" w:w="48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使用说明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1 MPa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基准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管道与设备压力常用单位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1 kPa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0.001 MPa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低压与微压测量常用单位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1 bar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0.1 MPa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进口仪表表盘常见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1 kgf/cm2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约 0.098 MPa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旧工程单位，历史资料换算用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1 psi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约 0.0069 MPa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进口设备资料换算用</w:t>
            </w:r>
          </w:p>
        </w:tc>
      </w:tr>
    </w:tbl>
    <w:p>
      <w:pPr>
        <w:spacing w:line="312" w:after="120"/>
        <w:ind w:firstLine="420"/>
        <w:jc w:val="both"/>
      </w:pPr>
      <w:r>
        <w:rPr>
          <w:i/>
          <w:iCs/>
          <w:color w:val="506070"/>
          <w:sz w:val="21"/>
          <w:szCs w:val="21"/>
          <w:rFonts w:ascii="Calibri" w:eastAsia="Microsoft YaHei"/>
        </w:rPr>
        <w:t xml:space="preserve">换算关系为教学近似值，正式换算应查法定计量换算表。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第二章 温度仪表读取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2.1 常用温度仪表类型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双金属温度计：两种膨胀系数不同的金属片绕成螺旋，受热偏转指示温度，常用于管道就地温度指示。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热电阻温度计：铂电阻 Pt100 阻值随温度变化，经变送器输出标准信号，精度高，中低温区常用。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热电偶温度计：两种导体接触点温差产生热电势，适合高温测量，配补偿导线与冷端补偿。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红外测温仪：非接触测温，用于巡检快速筛查设备异常温升部位。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2.2 温度读数要点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确认单位为摄氏度，双金属温度计表盘视线垂直读数。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远传温度应就地表与集控显示值互相对照，偏差明显超限时申报检查。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温度读数用于趋势判断：轴承、密封、电机绕组等部位异常温升提示润滑或冷却问题，须比对历史数据判别渐变与突变。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第三章 液位仪表读取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3.1 常用液位仪表类型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玻璃板液位计：直读式，结构简单，用于罐体与容器就地液位监视。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磁翻板液位计：浮子内磁钢驱动翻板变色指示，可配套远传变送器。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浮筒液位计：浮筒感受液位变化产生位移或力，转为标准信号输出。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雷达液位计：非接触微波测量，适合储罐高精度液位计量。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3.2 液位读数与报警</w:t>
      </w:r>
    </w:p>
    <w:p>
      <w:pPr>
        <w:spacing w:line="312" w:after="60"/>
        <w:ind w:firstLine="42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液位读数须关注高液位与低液位报警设定值：液位过高易造成带液进气或冒罐，过低易造成机泵抽空。缓冲罐、分离器液位应与油水界面参数一起核对，发现液位异常先核对仪表，再检查排放阀与上下游流程。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第四章 流量仪表读取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4.1 常用流量仪表对比</w:t>
      </w:r>
    </w:p>
    <w:p>
      <w:pPr>
        <w:keepNext/>
        <w:spacing w:before="160" w:after="80" w:line="312"/>
      </w:pPr>
      <w:r>
        <w:rPr>
          <w:b/>
          <w:bCs/>
          <w:color w:val="0B1220"/>
          <w:sz w:val="21"/>
          <w:szCs w:val="21"/>
          <w:rFonts w:ascii="Calibri" w:eastAsia="Microsoft YaHei"/>
        </w:rPr>
        <w:t xml:space="preserve">表2 常用流量仪表对比表（教学示例）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仪表类型</w:t>
            </w:r>
          </w:p>
        </w:tc>
        <w:tc>
          <w:tcPr>
            <w:tcW w:type="pct" w:w="28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测量原理</w:t>
            </w:r>
          </w:p>
        </w:tc>
        <w:tc>
          <w:tcPr>
            <w:tcW w:type="pct" w:w="24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典型用途</w:t>
            </w:r>
          </w:p>
        </w:tc>
        <w:tc>
          <w:tcPr>
            <w:tcW w:type="pct" w:w="28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读取要点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涡轮流量计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叶轮转速与流速成正比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油品与天然气计量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关注仪表系数与前后直管段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超声流量计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声波顺逆流传播时间差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天然气大口径计量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关注声道状态与信号强度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涡街流量计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旋涡分离频率与流速相关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蒸汽与气体计量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关注振动干扰与量程下限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罗茨流量计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容积式逐腔计量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燃气与中小口径计量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关注前后压差与过滤器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孔板差压流量计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节流件前后差压推算流量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天然气贸易计量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关注差压、温度、压力三参数配套</w:t>
            </w:r>
          </w:p>
        </w:tc>
      </w:tr>
    </w:tbl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4.2 流量读数与单位换算</w:t>
      </w:r>
    </w:p>
    <w:p>
      <w:pPr>
        <w:spacing w:line="312" w:after="60"/>
        <w:ind w:firstLine="42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瞬时流量常用单位为 m3/h 与 t/h，累计流量常用 m3 或 t，天然气输量常用万 m3/d 表示。读数记录必须写明单位与工况说明；工况体积流量换算为标况体积时须采用温度、压力补偿参数，换算过程与参数来源随记录保存。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4.3 流量异常辨识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流量读数骤降伴入口压力下降：优先排查机泵气蚀与过滤器堵塞。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流量读数骤变为零而流程正常：多为流量计或信号回路故障。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累计量与上下游交接量偏差增大：核对计量器具系数、补偿参数与检定有效期。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第五章 仪表参数读取通用规范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5.1 读数三步法</w:t>
      </w:r>
    </w:p>
    <w:p>
      <w:pPr>
        <w:spacing w:line="312" w:after="60"/>
        <w:ind w:firstLine="42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第一步确认仪表单位、量程与状态（检定标识、铅封、指针或显示是否正常）；第二步规范读数（视线垂直、估读一位、就地与远传互对）；第三步复核登记（读数与上一班历史数据比较，判断趋势后如实登记）。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5.2 参数偏离判断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参数偏离设定值时，先确认仪表与流程状态，再排查设备原因，不得盲目调整设定值。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参数突变多为流程切换、设备故障引起；渐变多为结垢、磨损、堵塞等缓因，须结合历史数据分析。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确认异常后按异常信息报告流程上报，报告要素包括时间、部位、现象、参数与已采取措施。</w:t>
      </w:r>
    </w:p>
    <w:p>
      <w:pPr>
        <w:pStyle w:val="Heading1"/>
        <w:keepNext/>
        <w:spacing w:before="360" w:after="160" w:line="312"/>
      </w:pPr>
      <w:r>
        <w:rPr>
          <w:b/>
          <w:bCs/>
          <w:color w:val="0B1220"/>
          <w:sz w:val="30"/>
          <w:szCs w:val="30"/>
          <w:rFonts w:ascii="Calibri" w:eastAsia="SimHei"/>
        </w:rPr>
        <w:t xml:space="preserve">第六章 运行记录填写规范</w:t>
      </w:r>
    </w:p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6.1 记录要素</w:t>
      </w:r>
    </w:p>
    <w:p>
      <w:pPr>
        <w:keepNext/>
        <w:spacing w:before="160" w:after="80" w:line="312"/>
      </w:pPr>
      <w:r>
        <w:rPr>
          <w:b/>
          <w:bCs/>
          <w:color w:val="0B1220"/>
          <w:sz w:val="21"/>
          <w:szCs w:val="21"/>
          <w:rFonts w:ascii="Calibri" w:eastAsia="Microsoft YaHei"/>
        </w:rPr>
        <w:t xml:space="preserve">表3 运行记录要素与填写要求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记录要素</w:t>
            </w:r>
          </w:p>
        </w:tc>
        <w:tc>
          <w:tcPr>
            <w:tcW w:type="pct" w:w="70%"/>
            <w:shd w:fill="EAF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B1220"/>
                <w:sz w:val="21"/>
                <w:szCs w:val="21"/>
                <w:rFonts w:ascii="Calibri" w:eastAsia="Microsoft YaHei"/>
              </w:rPr>
              <w:t xml:space="preserve">填写要求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时间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按班次与巡检周期如实填写，精确到分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岗位与人员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填写岗位、操作人、复核人，签名清晰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参数读数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写明仪表位号、数值、单位与工况说明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设备状态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写明运行、备用、检修状态及启停时间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异常情况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描述现象、参数、初步原因与处理措施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交接事项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182030"/>
                <w:sz w:val="21"/>
                <w:szCs w:val="21"/>
                <w:rFonts w:ascii="Calibri" w:eastAsia="Microsoft YaHei"/>
              </w:rPr>
              <w:t xml:space="preserve">写明未完成事项、注意事项与接交双方确认</w:t>
            </w:r>
          </w:p>
        </w:tc>
      </w:tr>
    </w:tbl>
    <w:p>
      <w:pPr>
        <w:pStyle w:val="Heading2"/>
        <w:keepNext/>
        <w:spacing w:before="240" w:after="120" w:line="312"/>
      </w:pPr>
      <w:r>
        <w:rPr>
          <w:b/>
          <w:bCs/>
          <w:color w:val="0B1220"/>
          <w:sz w:val="26"/>
          <w:szCs w:val="26"/>
          <w:rFonts w:ascii="Calibri" w:eastAsia="SimHei"/>
        </w:rPr>
        <w:t xml:space="preserve">6.2 填写规范要求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使用规范术语与法定计量单位，如实、及时、逐项填写，不得凭记忆事后补记。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写错处采用杠改并签名确认，不得涂抹、覆盖或撕页。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异常事件单独详细记录，并与异常信息报告或作业许可编号对应，保证可追溯。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color w:val="182030"/>
          <w:sz w:val="24"/>
          <w:szCs w:val="24"/>
          <w:rFonts w:ascii="Calibri" w:eastAsia="Microsoft YaHei"/>
        </w:rPr>
        <w:t xml:space="preserve">记录按班交接核对、按月整理归档，作为运行分析与教学复盘的原始依据。</w:t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Fonts w:ascii="Calibri" w:eastAsia="Microsoft YaHe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  <w:rFonts w:ascii="Calibri" w:eastAsia="Microsoft YaHei"/>
      </w:rPr>
      <w:t xml:space="preserve">油训智安 · 教学模拟资料（不作为真实现场操作依据）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82030"/>
        <w:sz w:val="24"/>
        <w:szCs w:val="24"/>
        <w:rFonts w:ascii="Calibri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2026-08-30T15:36:36.493Z</dcterms:created>
  <dcterms:modified xsi:type="dcterms:W3CDTF">2026-08-30T15:36:36.500Z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