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BBBF8">
      <w:pPr>
        <w:ind w:firstLine="560"/>
        <w:rPr>
          <w:rFonts w:hint="eastAsia"/>
        </w:rPr>
      </w:pPr>
      <w:r>
        <w:rPr>
          <w:rFonts w:hint="eastAsia"/>
        </w:rPr>
        <w:t>勘察依据及工作目标</w:t>
      </w:r>
    </w:p>
    <w:p w14:paraId="26E71DD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B71A26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《全球定位系统实时动态测量（RTK）技术规范》（CH/T2009—2010）；</w:t>
      </w:r>
    </w:p>
    <w:p w14:paraId="216FC0E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7473674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《全球定位系统（GPS）测量型接收机检定规程》（CH8016—1995）；</w:t>
      </w:r>
    </w:p>
    <w:p w14:paraId="6200DB40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5E821A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5600A17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06FE8F4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《标准化工作导则第1部分：标准化文件的结构和起草规则》（GB/T1.1—2020）；</w:t>
      </w:r>
    </w:p>
    <w:p w14:paraId="30488EE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《水利水电工程测量规范》（SL197—2013）；</w:t>
      </w:r>
    </w:p>
    <w:p w14:paraId="6A9E87C8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ECC0462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3D0FFB0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《国家基本比例尺地图编绘规范第2部分：1：250000地形图编绘规范》（GB/T12343.2—2008）；</w:t>
      </w:r>
    </w:p>
    <w:p w14:paraId="13EDE5D9">
      <w:pPr>
        <w:ind w:firstLine="560"/>
        <w:rPr>
          <w:rFonts w:hint="eastAsia"/>
        </w:rPr>
      </w:pPr>
      <w:r>
        <w:rPr>
          <w:rFonts w:hint="eastAsia"/>
        </w:rPr>
        <w:t>《国家一、二等水准测量规范》（GB/T12897—2006）；</w:t>
      </w:r>
    </w:p>
    <w:p w14:paraId="28976051">
      <w:pPr>
        <w:ind w:firstLine="560"/>
        <w:rPr>
          <w:rFonts w:hint="eastAsia"/>
        </w:rPr>
      </w:pPr>
      <w:r>
        <w:rPr>
          <w:rFonts w:hint="eastAsia"/>
        </w:rPr>
        <w:t>《基础地理信息要素分类与代码》（GB/T13923—2022）；</w:t>
      </w:r>
    </w:p>
    <w:p w14:paraId="5256DCE4">
      <w:pPr>
        <w:ind w:firstLine="560"/>
        <w:rPr>
          <w:rFonts w:hint="eastAsia"/>
        </w:rPr>
      </w:pPr>
      <w:r>
        <w:rPr>
          <w:rFonts w:hint="eastAsia"/>
        </w:rPr>
        <w:t>《1：5000、1：10000地形图航空摄影测量外业规范》（GB/T13977—2012）；</w:t>
      </w:r>
    </w:p>
    <w:p w14:paraId="6964EC05">
      <w:pPr>
        <w:ind w:firstLine="560"/>
        <w:rPr>
          <w:rFonts w:hint="eastAsia"/>
        </w:rPr>
      </w:pPr>
      <w:r>
        <w:rPr>
          <w:rFonts w:hint="eastAsia"/>
        </w:rPr>
        <w:t>《近景摄影测量规范》（GB/T12979—2024）；</w:t>
      </w:r>
    </w:p>
    <w:p w14:paraId="5FBF69CF">
      <w:pPr>
        <w:ind w:firstLine="560"/>
        <w:rPr>
          <w:rFonts w:hint="eastAsia"/>
        </w:rPr>
      </w:pPr>
      <w:r>
        <w:rPr>
          <w:rFonts w:hint="eastAsia"/>
        </w:rPr>
        <w:t>《地图印刷规范》（GB/T14511—2008）；</w:t>
      </w:r>
    </w:p>
    <w:p w14:paraId="4D4B1CEA">
      <w:pPr>
        <w:ind w:firstLine="560"/>
        <w:rPr>
          <w:rFonts w:hint="eastAsia"/>
        </w:rPr>
      </w:pPr>
      <w:r>
        <w:rPr>
          <w:rFonts w:hint="eastAsia"/>
        </w:rPr>
        <w:t>《1：500、1：1000、1：2000外业数字测图技术规程》（GB/T14912—2017）；</w:t>
      </w:r>
    </w:p>
    <w:p w14:paraId="55A11A5E">
      <w:pPr>
        <w:ind w:firstLine="560"/>
        <w:rPr>
          <w:rFonts w:hint="eastAsia"/>
        </w:rPr>
      </w:pPr>
      <w:r>
        <w:rPr>
          <w:rFonts w:hint="eastAsia"/>
        </w:rPr>
        <w:t>《地理空间数据交换格式》（GB/T17798—2007）；</w:t>
      </w:r>
    </w:p>
    <w:p w14:paraId="207D6E6E">
      <w:pPr>
        <w:ind w:firstLine="560"/>
        <w:rPr>
          <w:rFonts w:hint="eastAsia"/>
        </w:rPr>
      </w:pPr>
      <w:r>
        <w:rPr>
          <w:rFonts w:hint="eastAsia"/>
        </w:rPr>
        <w:t>《国家三角测量规范》（GB/T17942—2000）；</w:t>
      </w:r>
    </w:p>
    <w:p w14:paraId="0702231E">
      <w:pPr>
        <w:ind w:firstLine="560"/>
        <w:rPr>
          <w:rFonts w:hint="eastAsia"/>
        </w:rPr>
      </w:pPr>
      <w:r>
        <w:rPr>
          <w:rFonts w:hint="eastAsia"/>
        </w:rPr>
        <w:t>《1：500、1：1000、1：2000地形图图式》（GB/T20257.1—2017）；</w:t>
      </w:r>
    </w:p>
    <w:p w14:paraId="7809EF5E">
      <w:pPr>
        <w:ind w:firstLine="560"/>
        <w:rPr>
          <w:rFonts w:hint="eastAsia"/>
        </w:rPr>
      </w:pPr>
      <w:r>
        <w:rPr>
          <w:rFonts w:hint="eastAsia"/>
        </w:rPr>
        <w:t>《1：5000、1：10000地形图图式》（GB/T20257.2—2017）；</w:t>
      </w:r>
    </w:p>
    <w:p w14:paraId="3030CF34">
      <w:pPr>
        <w:ind w:firstLine="560"/>
        <w:rPr>
          <w:rFonts w:hint="eastAsia"/>
        </w:rPr>
      </w:pPr>
      <w:r>
        <w:rPr>
          <w:rFonts w:hint="eastAsia"/>
        </w:rPr>
        <w:t>《土地利用现状分类》（GB/T21010—2017）；</w:t>
      </w:r>
    </w:p>
    <w:p w14:paraId="5B89C0A6">
      <w:pPr>
        <w:ind w:firstLine="560"/>
        <w:rPr>
          <w:rFonts w:hint="eastAsia"/>
        </w:rPr>
      </w:pPr>
      <w:r>
        <w:rPr>
          <w:rFonts w:hint="eastAsia"/>
        </w:rPr>
        <w:t>《水位观测标准》（GB/T50138—2010）；</w:t>
      </w:r>
    </w:p>
    <w:p w14:paraId="4EB09A70">
      <w:pPr>
        <w:ind w:firstLine="560"/>
        <w:rPr>
          <w:rFonts w:hint="eastAsia"/>
        </w:rPr>
      </w:pPr>
      <w:r>
        <w:rPr>
          <w:rFonts w:hint="eastAsia"/>
        </w:rPr>
        <w:t>《混凝土坝安全监测技术规范》（SL601—2013）；</w:t>
      </w:r>
    </w:p>
    <w:p w14:paraId="6821975F">
      <w:pPr>
        <w:ind w:firstLine="560"/>
        <w:rPr>
          <w:rFonts w:hint="eastAsia"/>
        </w:rPr>
      </w:pPr>
      <w:r>
        <w:rPr>
          <w:rFonts w:hint="eastAsia"/>
        </w:rPr>
        <w:t>《基础地理信息数字产品元数据》（CH/T1007—2001）；</w:t>
      </w:r>
    </w:p>
    <w:p w14:paraId="6BB90BCC">
      <w:pPr>
        <w:ind w:firstLine="560"/>
        <w:rPr>
          <w:rFonts w:hint="eastAsia"/>
        </w:rPr>
      </w:pPr>
      <w:r>
        <w:rPr>
          <w:rFonts w:hint="eastAsia"/>
        </w:rPr>
        <w:t>《基础地理信息数字产品1：10000、1：50000生产技术规程第4部分：数字栅格地图》（CH/T1015.4—2007）；</w:t>
      </w:r>
    </w:p>
    <w:p w14:paraId="35068DB7">
      <w:pPr>
        <w:ind w:firstLine="560"/>
        <w:rPr>
          <w:rFonts w:hint="eastAsia"/>
        </w:rPr>
      </w:pPr>
      <w:r>
        <w:rPr>
          <w:rFonts w:hint="eastAsia"/>
        </w:rPr>
        <w:t>《数字航摄仪检定规程》（CH/T8021—2010）；</w:t>
      </w:r>
    </w:p>
    <w:p w14:paraId="57778204">
      <w:pPr>
        <w:ind w:firstLine="560"/>
        <w:rPr>
          <w:rFonts w:hint="eastAsia"/>
        </w:rPr>
      </w:pPr>
      <w:r>
        <w:rPr>
          <w:rFonts w:hint="eastAsia"/>
        </w:rPr>
        <w:t>《无人机航摄安全作业基本要求》（CH/Z3001—2010）；</w:t>
      </w:r>
    </w:p>
    <w:p w14:paraId="1EC3B9CF">
      <w:pPr>
        <w:ind w:firstLine="560"/>
        <w:rPr>
          <w:rFonts w:hint="eastAsia"/>
        </w:rPr>
      </w:pPr>
      <w:r>
        <w:rPr>
          <w:rFonts w:hint="eastAsia"/>
        </w:rPr>
        <w:t>《无人机航摄系统技术要求》（CH/Z3002—2010）；</w:t>
      </w:r>
    </w:p>
    <w:p w14:paraId="55BBF252">
      <w:pPr>
        <w:ind w:firstLine="560"/>
        <w:rPr>
          <w:rFonts w:hint="eastAsia"/>
        </w:rPr>
      </w:pPr>
      <w:r>
        <w:rPr>
          <w:rFonts w:hint="eastAsia"/>
        </w:rPr>
        <w:t>《城市地下管线探测技术规程》（CJJ61—2017）；</w:t>
      </w:r>
    </w:p>
    <w:p w14:paraId="264C0F81">
      <w:pPr>
        <w:ind w:firstLine="560"/>
        <w:rPr>
          <w:rFonts w:hint="eastAsia"/>
        </w:rPr>
      </w:pPr>
      <w:r>
        <w:rPr>
          <w:rFonts w:hint="eastAsia"/>
        </w:rPr>
        <w:t>《全球定位系统（GPS）测量规范》（GB/T18314—2024）；</w:t>
      </w:r>
    </w:p>
    <w:p w14:paraId="4EFB87ED">
      <w:pPr>
        <w:ind w:firstLine="560"/>
        <w:rPr>
          <w:rFonts w:hint="eastAsia"/>
        </w:rPr>
      </w:pPr>
      <w:r>
        <w:rPr>
          <w:rFonts w:hint="eastAsia"/>
        </w:rPr>
        <w:t>《测绘产品检查验收规定》（CH1002—1995）；</w:t>
      </w:r>
    </w:p>
    <w:p w14:paraId="229A748D">
      <w:pPr>
        <w:ind w:firstLine="560"/>
        <w:rPr>
          <w:rFonts w:hint="eastAsia"/>
        </w:rPr>
      </w:pPr>
      <w:r>
        <w:rPr>
          <w:rFonts w:hint="eastAsia"/>
        </w:rPr>
        <w:t>《测绘产品质量评定标准》（CH1003—1995）；</w:t>
      </w:r>
    </w:p>
    <w:p w14:paraId="1A761CD1">
      <w:pPr>
        <w:ind w:firstLine="560"/>
        <w:rPr>
          <w:rFonts w:hint="eastAsia"/>
        </w:rPr>
      </w:pPr>
      <w:r>
        <w:rPr>
          <w:rFonts w:hint="eastAsia"/>
        </w:rPr>
        <w:t>《测绘技术设计规定》（CH/T1004—2005）；</w:t>
      </w:r>
    </w:p>
    <w:p w14:paraId="403C3E5D">
      <w:pPr>
        <w:ind w:firstLine="560"/>
        <w:rPr>
          <w:rFonts w:hint="eastAsia"/>
        </w:rPr>
      </w:pPr>
      <w:r>
        <w:rPr>
          <w:rFonts w:hint="eastAsia"/>
        </w:rPr>
        <w:t>《国家三、四等水准测量规范》（GB/T12898—2009）；</w:t>
      </w:r>
    </w:p>
    <w:p w14:paraId="623157B7">
      <w:pPr>
        <w:ind w:firstLine="560"/>
        <w:rPr>
          <w:rFonts w:hint="eastAsia"/>
        </w:rPr>
      </w:pPr>
      <w:r>
        <w:rPr>
          <w:rFonts w:hint="eastAsia"/>
        </w:rPr>
        <w:t>《光学经纬仪》（GB/T3161—2015）；</w:t>
      </w:r>
    </w:p>
    <w:p w14:paraId="19FEF0D5">
      <w:pPr>
        <w:ind w:firstLine="560"/>
        <w:rPr>
          <w:rFonts w:hint="eastAsia"/>
        </w:rPr>
      </w:pPr>
      <w:r>
        <w:rPr>
          <w:rFonts w:hint="eastAsia"/>
        </w:rPr>
        <w:t>《水准仪》（GB/T10156—2009）；</w:t>
      </w:r>
    </w:p>
    <w:p w14:paraId="6469DDB0">
      <w:pPr>
        <w:ind w:firstLine="560"/>
        <w:rPr>
          <w:rFonts w:hint="eastAsia"/>
        </w:rPr>
      </w:pPr>
      <w:r>
        <w:rPr>
          <w:rFonts w:hint="eastAsia"/>
        </w:rPr>
        <w:t>《中、短程光电测距规范》（GB/T16818—2008）；</w:t>
      </w:r>
    </w:p>
    <w:p w14:paraId="4C6A9FA0">
      <w:pPr>
        <w:ind w:firstLine="560"/>
        <w:rPr>
          <w:rFonts w:hint="eastAsia"/>
        </w:rPr>
      </w:pPr>
      <w:r>
        <w:rPr>
          <w:rFonts w:hint="eastAsia"/>
        </w:rPr>
        <w:t>《测绘技术总结编写规定》（CH/T1001—2005）；</w:t>
      </w:r>
    </w:p>
    <w:p w14:paraId="317A8C2D">
      <w:pPr>
        <w:ind w:firstLine="560"/>
        <w:rPr>
          <w:rFonts w:hint="eastAsia"/>
        </w:rPr>
      </w:pPr>
      <w:r>
        <w:rPr>
          <w:rFonts w:hint="eastAsia"/>
        </w:rPr>
        <w:t>《测量外业电子记录基本规定》（CH/T2004—1999）；</w:t>
      </w:r>
    </w:p>
    <w:p w14:paraId="45606606">
      <w:pPr>
        <w:ind w:firstLine="560"/>
        <w:rPr>
          <w:rFonts w:hint="eastAsia"/>
        </w:rPr>
      </w:pPr>
      <w:r>
        <w:rPr>
          <w:rFonts w:hint="eastAsia"/>
        </w:rPr>
        <w:t>《水准测量电子记录规定》（CH/T2006—1999）；</w:t>
      </w:r>
    </w:p>
    <w:p w14:paraId="1E36DF8E">
      <w:pPr>
        <w:ind w:firstLine="560"/>
        <w:rPr>
          <w:rFonts w:hint="eastAsia"/>
        </w:rPr>
      </w:pPr>
      <w:r>
        <w:rPr>
          <w:rFonts w:hint="eastAsia"/>
        </w:rPr>
        <w:t>《水准标尺检定规程》（JJG8—1991）；</w:t>
      </w:r>
    </w:p>
    <w:p w14:paraId="3A2B093A">
      <w:pPr>
        <w:ind w:firstLine="560"/>
        <w:rPr>
          <w:rFonts w:hint="eastAsia"/>
        </w:rPr>
      </w:pPr>
      <w:r>
        <w:rPr>
          <w:rFonts w:hint="eastAsia"/>
        </w:rPr>
        <w:t>《水准仪检定规程》（JJG425—2003）；</w:t>
      </w:r>
    </w:p>
    <w:p w14:paraId="200DCA38">
      <w:pPr>
        <w:ind w:firstLine="560"/>
        <w:rPr>
          <w:rFonts w:hint="eastAsia"/>
        </w:rPr>
      </w:pPr>
      <w:r>
        <w:rPr>
          <w:rFonts w:hint="eastAsia"/>
        </w:rPr>
        <w:t>《光学经纬仪检定规程》（JJG414—2011）；</w:t>
      </w:r>
    </w:p>
    <w:p w14:paraId="424CF3DC">
      <w:pPr>
        <w:ind w:firstLine="560"/>
        <w:rPr>
          <w:rFonts w:hint="eastAsia"/>
        </w:rPr>
      </w:pPr>
      <w:r>
        <w:rPr>
          <w:rFonts w:hint="eastAsia"/>
        </w:rPr>
        <w:t>C、GPS观测</w:t>
      </w:r>
    </w:p>
    <w:p w14:paraId="1D341265">
      <w:pPr>
        <w:ind w:firstLine="560"/>
        <w:rPr>
          <w:rFonts w:hint="eastAsia"/>
        </w:rPr>
      </w:pPr>
      <w:r>
        <w:rPr>
          <w:rFonts w:hint="eastAsia"/>
        </w:rPr>
        <w:t>aGPS控制测量作业的基本技术要求，应符合下表的规定。</w:t>
      </w:r>
    </w:p>
    <w:tbl>
      <w:tblPr>
        <w:tblStyle w:val="33"/>
        <w:tblW w:w="9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96"/>
        <w:gridCol w:w="1326"/>
        <w:gridCol w:w="1144"/>
        <w:gridCol w:w="1144"/>
        <w:gridCol w:w="1144"/>
        <w:gridCol w:w="1144"/>
        <w:gridCol w:w="1144"/>
      </w:tblGrid>
      <w:tr w14:paraId="0328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  <w:tblHeader/>
        </w:trPr>
        <w:tc>
          <w:tcPr>
            <w:tcW w:w="0" w:type="auto"/>
            <w:gridSpan w:val="2"/>
            <w:vAlign w:val="center"/>
          </w:tcPr>
          <w:p w14:paraId="71B26D8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等级</w:t>
            </w:r>
          </w:p>
        </w:tc>
        <w:tc>
          <w:tcPr>
            <w:tcW w:w="0" w:type="auto"/>
            <w:vAlign w:val="center"/>
          </w:tcPr>
          <w:p w14:paraId="651FCC45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二等</w:t>
            </w:r>
          </w:p>
        </w:tc>
        <w:tc>
          <w:tcPr>
            <w:tcW w:w="0" w:type="auto"/>
            <w:vAlign w:val="center"/>
          </w:tcPr>
          <w:p w14:paraId="0FEC6E2D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0" w:type="auto"/>
            <w:vAlign w:val="center"/>
          </w:tcPr>
          <w:p w14:paraId="7C4B7887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0" w:type="auto"/>
            <w:vAlign w:val="center"/>
          </w:tcPr>
          <w:p w14:paraId="765BDE7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0" w:type="auto"/>
            <w:vAlign w:val="center"/>
          </w:tcPr>
          <w:p w14:paraId="3D73163C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二级</w:t>
            </w:r>
          </w:p>
        </w:tc>
      </w:tr>
      <w:tr w14:paraId="64BB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0EEDC02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接收机类型</w:t>
            </w:r>
          </w:p>
        </w:tc>
        <w:tc>
          <w:tcPr>
            <w:tcW w:w="0" w:type="auto"/>
            <w:vAlign w:val="center"/>
          </w:tcPr>
          <w:p w14:paraId="767B0993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双频</w:t>
            </w:r>
          </w:p>
        </w:tc>
        <w:tc>
          <w:tcPr>
            <w:tcW w:w="0" w:type="auto"/>
            <w:vAlign w:val="center"/>
          </w:tcPr>
          <w:p w14:paraId="692B3CDE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双频或单频</w:t>
            </w:r>
          </w:p>
        </w:tc>
        <w:tc>
          <w:tcPr>
            <w:tcW w:w="0" w:type="auto"/>
            <w:vAlign w:val="center"/>
          </w:tcPr>
          <w:p w14:paraId="3ACB0337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双频或单频</w:t>
            </w:r>
          </w:p>
        </w:tc>
        <w:tc>
          <w:tcPr>
            <w:tcW w:w="0" w:type="auto"/>
            <w:vAlign w:val="center"/>
          </w:tcPr>
          <w:p w14:paraId="19472468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双频或单频</w:t>
            </w:r>
          </w:p>
        </w:tc>
        <w:tc>
          <w:tcPr>
            <w:tcW w:w="0" w:type="auto"/>
            <w:vAlign w:val="center"/>
          </w:tcPr>
          <w:p w14:paraId="594C71F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双频或单频</w:t>
            </w:r>
          </w:p>
        </w:tc>
      </w:tr>
      <w:tr w14:paraId="33DA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0" w:type="auto"/>
            <w:gridSpan w:val="2"/>
            <w:vAlign w:val="center"/>
          </w:tcPr>
          <w:p w14:paraId="15CBA985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仪器标称精度</w:t>
            </w:r>
          </w:p>
        </w:tc>
        <w:tc>
          <w:tcPr>
            <w:tcW w:w="0" w:type="auto"/>
            <w:vAlign w:val="center"/>
          </w:tcPr>
          <w:p w14:paraId="413315D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10mm+2ppm</w:t>
            </w:r>
          </w:p>
        </w:tc>
        <w:tc>
          <w:tcPr>
            <w:tcW w:w="0" w:type="auto"/>
            <w:vAlign w:val="center"/>
          </w:tcPr>
          <w:p w14:paraId="5FDA316C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10mm+5ppm</w:t>
            </w:r>
          </w:p>
        </w:tc>
        <w:tc>
          <w:tcPr>
            <w:tcW w:w="0" w:type="auto"/>
            <w:vAlign w:val="center"/>
          </w:tcPr>
          <w:p w14:paraId="50A6E548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10mm+5ppm</w:t>
            </w:r>
          </w:p>
        </w:tc>
        <w:tc>
          <w:tcPr>
            <w:tcW w:w="0" w:type="auto"/>
            <w:vAlign w:val="center"/>
          </w:tcPr>
          <w:p w14:paraId="2DB6EE53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10mm+5ppm</w:t>
            </w:r>
          </w:p>
        </w:tc>
        <w:tc>
          <w:tcPr>
            <w:tcW w:w="0" w:type="auto"/>
            <w:vAlign w:val="center"/>
          </w:tcPr>
          <w:p w14:paraId="5DE1A098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10mm+5ppm</w:t>
            </w:r>
          </w:p>
        </w:tc>
      </w:tr>
      <w:tr w14:paraId="1AE5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0" w:type="auto"/>
            <w:gridSpan w:val="2"/>
            <w:vAlign w:val="center"/>
          </w:tcPr>
          <w:p w14:paraId="6E15811D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观测量</w:t>
            </w:r>
          </w:p>
        </w:tc>
        <w:tc>
          <w:tcPr>
            <w:tcW w:w="0" w:type="auto"/>
            <w:vAlign w:val="center"/>
          </w:tcPr>
          <w:p w14:paraId="4A07269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载波相位</w:t>
            </w:r>
          </w:p>
        </w:tc>
        <w:tc>
          <w:tcPr>
            <w:tcW w:w="0" w:type="auto"/>
            <w:vAlign w:val="center"/>
          </w:tcPr>
          <w:p w14:paraId="0F60BF89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载波相位</w:t>
            </w:r>
          </w:p>
        </w:tc>
        <w:tc>
          <w:tcPr>
            <w:tcW w:w="0" w:type="auto"/>
            <w:vAlign w:val="center"/>
          </w:tcPr>
          <w:p w14:paraId="0DA0993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载波相位</w:t>
            </w:r>
          </w:p>
        </w:tc>
        <w:tc>
          <w:tcPr>
            <w:tcW w:w="0" w:type="auto"/>
            <w:vAlign w:val="center"/>
          </w:tcPr>
          <w:p w14:paraId="65231139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载波相位</w:t>
            </w:r>
          </w:p>
        </w:tc>
        <w:tc>
          <w:tcPr>
            <w:tcW w:w="0" w:type="auto"/>
            <w:vAlign w:val="center"/>
          </w:tcPr>
          <w:p w14:paraId="0D5898A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载波相位</w:t>
            </w:r>
          </w:p>
        </w:tc>
      </w:tr>
      <w:tr w14:paraId="75C3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80" w:type="dxa"/>
            <w:vMerge w:val="restart"/>
            <w:vAlign w:val="center"/>
          </w:tcPr>
          <w:p w14:paraId="73687B68">
            <w:pPr>
              <w:pStyle w:val="34"/>
              <w:ind w:firstLine="560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卫星高度角</w:t>
            </w:r>
            <w:r>
              <w:rPr>
                <w:rFonts w:hint="eastAsia"/>
                <w:kern w:val="0"/>
                <w:lang w:eastAsia="zh-CN"/>
              </w:rPr>
              <w:t>（秒）</w:t>
            </w:r>
          </w:p>
        </w:tc>
        <w:tc>
          <w:tcPr>
            <w:tcW w:w="1164" w:type="dxa"/>
            <w:vAlign w:val="center"/>
          </w:tcPr>
          <w:p w14:paraId="0A53369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</w:t>
            </w:r>
          </w:p>
        </w:tc>
        <w:tc>
          <w:tcPr>
            <w:tcW w:w="0" w:type="auto"/>
            <w:vAlign w:val="center"/>
          </w:tcPr>
          <w:p w14:paraId="3562622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  <w:tc>
          <w:tcPr>
            <w:tcW w:w="0" w:type="auto"/>
            <w:vAlign w:val="center"/>
          </w:tcPr>
          <w:p w14:paraId="1A5B3799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  <w:tc>
          <w:tcPr>
            <w:tcW w:w="0" w:type="auto"/>
            <w:vAlign w:val="center"/>
          </w:tcPr>
          <w:p w14:paraId="3870B77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  <w:tc>
          <w:tcPr>
            <w:tcW w:w="0" w:type="auto"/>
            <w:vAlign w:val="center"/>
          </w:tcPr>
          <w:p w14:paraId="573BCDC9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  <w:tc>
          <w:tcPr>
            <w:tcW w:w="0" w:type="auto"/>
            <w:vAlign w:val="center"/>
          </w:tcPr>
          <w:p w14:paraId="2C528BA3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</w:tr>
      <w:tr w14:paraId="7E44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2280" w:type="dxa"/>
            <w:vMerge w:val="continue"/>
            <w:vAlign w:val="center"/>
          </w:tcPr>
          <w:p w14:paraId="6E61A8FE">
            <w:pPr>
              <w:pStyle w:val="34"/>
              <w:ind w:firstLine="560"/>
              <w:rPr>
                <w:rFonts w:hint="eastAsia"/>
                <w:kern w:val="0"/>
              </w:rPr>
            </w:pPr>
          </w:p>
        </w:tc>
        <w:tc>
          <w:tcPr>
            <w:tcW w:w="1164" w:type="dxa"/>
            <w:vAlign w:val="center"/>
          </w:tcPr>
          <w:p w14:paraId="339D1AB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快速静态</w:t>
            </w:r>
          </w:p>
        </w:tc>
        <w:tc>
          <w:tcPr>
            <w:tcW w:w="0" w:type="auto"/>
            <w:vAlign w:val="center"/>
          </w:tcPr>
          <w:p w14:paraId="2D170E3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68881F4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4923D5F5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7ED3ED92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  <w:tc>
          <w:tcPr>
            <w:tcW w:w="0" w:type="auto"/>
            <w:vAlign w:val="center"/>
          </w:tcPr>
          <w:p w14:paraId="234DE484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≥15</w:t>
            </w:r>
          </w:p>
        </w:tc>
      </w:tr>
      <w:tr w14:paraId="6E4F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0" w:type="dxa"/>
            <w:vMerge w:val="restart"/>
            <w:vAlign w:val="center"/>
          </w:tcPr>
          <w:p w14:paraId="1E4EB922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有效观测卫星数</w:t>
            </w:r>
          </w:p>
        </w:tc>
        <w:tc>
          <w:tcPr>
            <w:tcW w:w="1164" w:type="dxa"/>
            <w:vAlign w:val="center"/>
          </w:tcPr>
          <w:p w14:paraId="4D211DE6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</w:t>
            </w:r>
          </w:p>
        </w:tc>
        <w:tc>
          <w:tcPr>
            <w:tcW w:w="0" w:type="auto"/>
            <w:vAlign w:val="center"/>
          </w:tcPr>
          <w:p w14:paraId="0A84E483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≥5</w:t>
            </w:r>
          </w:p>
        </w:tc>
        <w:tc>
          <w:tcPr>
            <w:tcW w:w="0" w:type="auto"/>
            <w:vAlign w:val="center"/>
          </w:tcPr>
          <w:p w14:paraId="273F34E8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≥5</w:t>
            </w:r>
          </w:p>
        </w:tc>
        <w:tc>
          <w:tcPr>
            <w:tcW w:w="0" w:type="auto"/>
            <w:vAlign w:val="center"/>
          </w:tcPr>
          <w:p w14:paraId="3EDD6E6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≥4</w:t>
            </w:r>
          </w:p>
        </w:tc>
        <w:tc>
          <w:tcPr>
            <w:tcW w:w="0" w:type="auto"/>
            <w:vAlign w:val="center"/>
          </w:tcPr>
          <w:p w14:paraId="4FE1B2F2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≥4</w:t>
            </w:r>
          </w:p>
        </w:tc>
        <w:tc>
          <w:tcPr>
            <w:tcW w:w="0" w:type="auto"/>
            <w:vAlign w:val="center"/>
          </w:tcPr>
          <w:p w14:paraId="209AD0F9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≥4</w:t>
            </w:r>
          </w:p>
        </w:tc>
      </w:tr>
      <w:tr w14:paraId="6258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0" w:type="dxa"/>
            <w:vMerge w:val="continue"/>
            <w:vAlign w:val="center"/>
          </w:tcPr>
          <w:p w14:paraId="7EA8C0F5">
            <w:pPr>
              <w:pStyle w:val="34"/>
              <w:ind w:firstLine="560"/>
              <w:rPr>
                <w:rFonts w:hint="eastAsia"/>
                <w:kern w:val="0"/>
              </w:rPr>
            </w:pPr>
          </w:p>
        </w:tc>
        <w:tc>
          <w:tcPr>
            <w:tcW w:w="1164" w:type="dxa"/>
            <w:vAlign w:val="center"/>
          </w:tcPr>
          <w:p w14:paraId="2AFF735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快速静态</w:t>
            </w:r>
          </w:p>
        </w:tc>
        <w:tc>
          <w:tcPr>
            <w:tcW w:w="0" w:type="auto"/>
            <w:vAlign w:val="center"/>
          </w:tcPr>
          <w:p w14:paraId="24F784B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46ABA40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41C116F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279B84FC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≥5</w:t>
            </w:r>
          </w:p>
        </w:tc>
        <w:tc>
          <w:tcPr>
            <w:tcW w:w="0" w:type="auto"/>
            <w:vAlign w:val="center"/>
          </w:tcPr>
          <w:p w14:paraId="14497D4F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≥5</w:t>
            </w:r>
          </w:p>
        </w:tc>
      </w:tr>
      <w:tr w14:paraId="1562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0" w:type="dxa"/>
            <w:vMerge w:val="restart"/>
            <w:vAlign w:val="center"/>
          </w:tcPr>
          <w:p w14:paraId="0A13EFE9">
            <w:pPr>
              <w:pStyle w:val="34"/>
              <w:ind w:firstLine="560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观测时段长度（min）</w:t>
            </w:r>
          </w:p>
        </w:tc>
        <w:tc>
          <w:tcPr>
            <w:tcW w:w="1164" w:type="dxa"/>
            <w:vAlign w:val="center"/>
          </w:tcPr>
          <w:p w14:paraId="39E77431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</w:t>
            </w:r>
          </w:p>
        </w:tc>
        <w:tc>
          <w:tcPr>
            <w:tcW w:w="0" w:type="auto"/>
            <w:vAlign w:val="center"/>
          </w:tcPr>
          <w:p w14:paraId="7F615EA1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90</w:t>
            </w:r>
          </w:p>
        </w:tc>
        <w:tc>
          <w:tcPr>
            <w:tcW w:w="0" w:type="auto"/>
            <w:vAlign w:val="center"/>
          </w:tcPr>
          <w:p w14:paraId="557836B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60</w:t>
            </w:r>
          </w:p>
        </w:tc>
        <w:tc>
          <w:tcPr>
            <w:tcW w:w="0" w:type="auto"/>
            <w:vAlign w:val="center"/>
          </w:tcPr>
          <w:p w14:paraId="7FD881A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15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45</w:t>
            </w:r>
          </w:p>
        </w:tc>
        <w:tc>
          <w:tcPr>
            <w:tcW w:w="0" w:type="auto"/>
            <w:vAlign w:val="center"/>
          </w:tcPr>
          <w:p w14:paraId="2FF35FE1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14:paraId="26B1FDCD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</w:tr>
      <w:tr w14:paraId="7FA3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0" w:type="dxa"/>
            <w:vMerge w:val="continue"/>
            <w:vAlign w:val="center"/>
          </w:tcPr>
          <w:p w14:paraId="7BA63A50">
            <w:pPr>
              <w:pStyle w:val="34"/>
              <w:ind w:firstLine="560"/>
              <w:rPr>
                <w:rFonts w:hint="eastAsia"/>
                <w:kern w:val="0"/>
              </w:rPr>
            </w:pPr>
          </w:p>
        </w:tc>
        <w:tc>
          <w:tcPr>
            <w:tcW w:w="1164" w:type="dxa"/>
            <w:vAlign w:val="center"/>
          </w:tcPr>
          <w:p w14:paraId="331804D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快速静态</w:t>
            </w:r>
          </w:p>
        </w:tc>
        <w:tc>
          <w:tcPr>
            <w:tcW w:w="0" w:type="auto"/>
            <w:vAlign w:val="center"/>
          </w:tcPr>
          <w:p w14:paraId="3B7EE75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0E7E3E77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1C2F1BBF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564830EC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0" w:type="auto"/>
            <w:vAlign w:val="center"/>
          </w:tcPr>
          <w:p w14:paraId="2A89B2F7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15</w:t>
            </w:r>
          </w:p>
        </w:tc>
      </w:tr>
      <w:tr w14:paraId="6D8B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0" w:type="dxa"/>
            <w:vMerge w:val="restart"/>
            <w:vAlign w:val="center"/>
          </w:tcPr>
          <w:p w14:paraId="3C1C85AC">
            <w:pPr>
              <w:pStyle w:val="34"/>
              <w:ind w:firstLine="560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数据采样间隔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s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  <w:tc>
          <w:tcPr>
            <w:tcW w:w="1164" w:type="dxa"/>
            <w:vAlign w:val="center"/>
          </w:tcPr>
          <w:p w14:paraId="2D40F85E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</w:t>
            </w:r>
          </w:p>
        </w:tc>
        <w:tc>
          <w:tcPr>
            <w:tcW w:w="0" w:type="auto"/>
            <w:vAlign w:val="center"/>
          </w:tcPr>
          <w:p w14:paraId="308502AB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14:paraId="79C42FC3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14:paraId="76693D47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14:paraId="3E60CD4C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  <w:tc>
          <w:tcPr>
            <w:tcW w:w="0" w:type="auto"/>
            <w:vAlign w:val="center"/>
          </w:tcPr>
          <w:p w14:paraId="22B0A3DE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30</w:t>
            </w:r>
          </w:p>
        </w:tc>
      </w:tr>
      <w:tr w14:paraId="145F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0" w:type="dxa"/>
            <w:vMerge w:val="continue"/>
            <w:vAlign w:val="center"/>
          </w:tcPr>
          <w:p w14:paraId="13DD1F49">
            <w:pPr>
              <w:pStyle w:val="34"/>
              <w:ind w:firstLine="560"/>
              <w:rPr>
                <w:rFonts w:hint="eastAsia"/>
                <w:kern w:val="0"/>
              </w:rPr>
            </w:pPr>
          </w:p>
        </w:tc>
        <w:tc>
          <w:tcPr>
            <w:tcW w:w="1164" w:type="dxa"/>
            <w:vAlign w:val="center"/>
          </w:tcPr>
          <w:p w14:paraId="2505F1A3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快速静态</w:t>
            </w:r>
          </w:p>
        </w:tc>
        <w:tc>
          <w:tcPr>
            <w:tcW w:w="0" w:type="auto"/>
            <w:vAlign w:val="center"/>
          </w:tcPr>
          <w:p w14:paraId="7013C3F1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4150EA90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58437372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—</w:t>
            </w:r>
          </w:p>
        </w:tc>
        <w:tc>
          <w:tcPr>
            <w:tcW w:w="0" w:type="auto"/>
            <w:vAlign w:val="center"/>
          </w:tcPr>
          <w:p w14:paraId="2EB0D427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0" w:type="auto"/>
            <w:vAlign w:val="center"/>
          </w:tcPr>
          <w:p w14:paraId="50C799AF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  <w:r>
              <w:rPr>
                <w:rFonts w:hint="eastAsia"/>
                <w:kern w:val="0"/>
                <w:lang w:eastAsia="zh-CN"/>
              </w:rPr>
              <w:t>—</w:t>
            </w:r>
            <w:r>
              <w:rPr>
                <w:rFonts w:hint="eastAsia"/>
                <w:kern w:val="0"/>
              </w:rPr>
              <w:t>15</w:t>
            </w:r>
          </w:p>
        </w:tc>
      </w:tr>
      <w:tr w14:paraId="48BC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gridSpan w:val="2"/>
            <w:vAlign w:val="center"/>
          </w:tcPr>
          <w:p w14:paraId="358793C6">
            <w:pPr>
              <w:pStyle w:val="34"/>
              <w:ind w:firstLine="560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点位几何图形强度因子PDOP</w:t>
            </w:r>
          </w:p>
        </w:tc>
        <w:tc>
          <w:tcPr>
            <w:tcW w:w="0" w:type="auto"/>
            <w:vAlign w:val="center"/>
          </w:tcPr>
          <w:p w14:paraId="2D3CECFF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≤6</w:t>
            </w:r>
          </w:p>
        </w:tc>
        <w:tc>
          <w:tcPr>
            <w:tcW w:w="0" w:type="auto"/>
            <w:vAlign w:val="center"/>
          </w:tcPr>
          <w:p w14:paraId="155CB2DA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≤6</w:t>
            </w:r>
          </w:p>
        </w:tc>
        <w:tc>
          <w:tcPr>
            <w:tcW w:w="0" w:type="auto"/>
            <w:vAlign w:val="center"/>
          </w:tcPr>
          <w:p w14:paraId="20462239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≤6</w:t>
            </w:r>
          </w:p>
        </w:tc>
        <w:tc>
          <w:tcPr>
            <w:tcW w:w="0" w:type="auto"/>
            <w:vAlign w:val="center"/>
          </w:tcPr>
          <w:p w14:paraId="3D9BB40E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≤8</w:t>
            </w:r>
          </w:p>
        </w:tc>
        <w:tc>
          <w:tcPr>
            <w:tcW w:w="0" w:type="auto"/>
            <w:vAlign w:val="center"/>
          </w:tcPr>
          <w:p w14:paraId="195764A4">
            <w:pPr>
              <w:pStyle w:val="34"/>
              <w:ind w:firstLine="56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≤8</w:t>
            </w:r>
          </w:p>
        </w:tc>
      </w:tr>
    </w:tbl>
    <w:p w14:paraId="06BD77F3">
      <w:pPr>
        <w:ind w:firstLine="560"/>
        <w:rPr>
          <w:rFonts w:hint="eastAsia"/>
        </w:rPr>
      </w:pPr>
      <w:r>
        <w:rPr>
          <w:rFonts w:hint="eastAsia"/>
        </w:rPr>
        <w:t>b对于规模较大的测区，应编制作业计划。</w:t>
      </w:r>
    </w:p>
    <w:p w14:paraId="2DAF6B56">
      <w:pPr>
        <w:ind w:firstLine="560"/>
        <w:rPr>
          <w:rFonts w:hint="eastAsia"/>
        </w:rPr>
      </w:pPr>
      <w:r>
        <w:rPr>
          <w:rFonts w:hint="eastAsia"/>
        </w:rPr>
        <w:t>cGPS控制测量测站作业，应满足下列要求：</w:t>
      </w:r>
    </w:p>
    <w:p w14:paraId="3DB595B6">
      <w:pPr>
        <w:ind w:firstLine="560"/>
        <w:rPr>
          <w:rFonts w:hint="eastAsia"/>
        </w:rPr>
      </w:pPr>
      <w:r>
        <w:rPr>
          <w:rFonts w:hint="eastAsia"/>
        </w:rPr>
        <w:t>观测前，应对接收机进行预热和静置，同时应检查电池的容量、接收机的内存和可储存空间是否充足。</w:t>
      </w:r>
    </w:p>
    <w:p w14:paraId="7A3D4E4A">
      <w:pPr>
        <w:ind w:firstLine="560"/>
        <w:rPr>
          <w:rFonts w:hint="eastAsia"/>
        </w:rPr>
      </w:pPr>
      <w:r>
        <w:rPr>
          <w:rFonts w:hint="eastAsia"/>
        </w:rPr>
        <w:t>天线安置的对中误差，不应大于2mm；天线高的量取应精确至1mm。</w:t>
      </w:r>
    </w:p>
    <w:p w14:paraId="1CF171A9">
      <w:pPr>
        <w:ind w:firstLine="560"/>
        <w:rPr>
          <w:rFonts w:hint="eastAsia"/>
        </w:rPr>
      </w:pPr>
      <w:r>
        <w:rPr>
          <w:rFonts w:hint="eastAsia"/>
        </w:rPr>
        <w:t>观测中，应避免在接收机近旁使用无线电通信工具。</w:t>
      </w:r>
    </w:p>
    <w:p w14:paraId="75A20EC6">
      <w:pPr>
        <w:ind w:firstLine="560"/>
        <w:rPr>
          <w:rFonts w:hint="eastAsia"/>
        </w:rPr>
      </w:pPr>
      <w:r>
        <w:rPr>
          <w:rFonts w:hint="eastAsia"/>
        </w:rPr>
        <w:t>作业同时，应做好测站记录，包括控制点点名、接收机序列号、仪器高、开关机时间等相关的测站信息。</w:t>
      </w:r>
    </w:p>
    <w:p w14:paraId="651DAC7A">
      <w:pPr>
        <w:ind w:firstLine="560"/>
        <w:rPr>
          <w:rFonts w:hint="eastAsia"/>
        </w:rPr>
      </w:pPr>
      <w:r>
        <w:rPr>
          <w:rFonts w:hint="eastAsia"/>
        </w:rPr>
        <w:t>D、GPS测量数据处理</w:t>
      </w:r>
    </w:p>
    <w:p w14:paraId="3E6EA98D">
      <w:pPr>
        <w:ind w:firstLine="560"/>
        <w:rPr>
          <w:rFonts w:hint="eastAsia"/>
        </w:rPr>
      </w:pPr>
      <w:r>
        <w:rPr>
          <w:rFonts w:hint="eastAsia"/>
        </w:rPr>
        <w:t>a基线解算，应满足下列要求：</w:t>
      </w:r>
    </w:p>
    <w:p w14:paraId="366B48E9">
      <w:pPr>
        <w:ind w:firstLine="560"/>
        <w:rPr>
          <w:rFonts w:hint="eastAsia"/>
        </w:rPr>
      </w:pPr>
      <w:r>
        <w:rPr>
          <w:rFonts w:hint="eastAsia"/>
        </w:rPr>
        <w:t>起算点的单点定位观测时间，不宜少于30min。</w:t>
      </w:r>
    </w:p>
    <w:p w14:paraId="4CD8DF72">
      <w:pPr>
        <w:ind w:firstLine="560"/>
        <w:rPr>
          <w:rFonts w:hint="eastAsia"/>
        </w:rPr>
      </w:pPr>
      <w:r>
        <w:rPr>
          <w:rFonts w:hint="eastAsia"/>
        </w:rPr>
        <w:t>解算模式可采用单基线解算模式，也可采用多基线解算模式。</w:t>
      </w:r>
    </w:p>
    <w:p w14:paraId="3700F939">
      <w:pPr>
        <w:ind w:firstLine="560"/>
        <w:rPr>
          <w:rFonts w:hint="eastAsia"/>
        </w:rPr>
      </w:pPr>
      <w:r>
        <w:rPr>
          <w:rFonts w:hint="eastAsia"/>
        </w:rPr>
        <w:t>解算成果，应采用双差固定解。</w:t>
      </w:r>
    </w:p>
    <w:p w14:paraId="3B65CD42">
      <w:pPr>
        <w:ind w:firstLine="560"/>
        <w:rPr>
          <w:rFonts w:hint="eastAsia"/>
        </w:rPr>
      </w:pPr>
      <w:r>
        <w:rPr>
          <w:rFonts w:hint="eastAsia"/>
        </w:rPr>
        <w:t>bGPS控制测量外业观测的全部数据应经同步环、异步环和复测基线检核。</w:t>
      </w:r>
    </w:p>
    <w:p w14:paraId="4B8036BE">
      <w:pPr>
        <w:ind w:firstLine="560"/>
        <w:rPr>
          <w:rFonts w:hint="eastAsia"/>
        </w:rPr>
      </w:pPr>
      <w:r>
        <w:rPr>
          <w:rFonts w:hint="eastAsia"/>
        </w:rPr>
        <w:t>c当观测数据不能满足检核要求时，应对成果进行全面分析，并舍弃不合格基线，但应保证舍弃基线后，所构成异步环的边数不应超过上文中的规定。否则，应重测该基线或有关的同步图形。</w:t>
      </w:r>
    </w:p>
    <w:p w14:paraId="10C0E1BB">
      <w:pPr>
        <w:ind w:firstLine="560"/>
        <w:rPr>
          <w:rFonts w:hint="eastAsia"/>
        </w:rPr>
      </w:pPr>
      <w:r>
        <w:rPr>
          <w:rFonts w:hint="eastAsia"/>
        </w:rPr>
        <w:t>d外业观测数据检验合格后，应按上文对GPS网的观测精度进行评定。</w:t>
      </w:r>
    </w:p>
    <w:p w14:paraId="52A07A14">
      <w:pPr>
        <w:ind w:firstLine="560"/>
        <w:rPr>
          <w:rFonts w:hint="eastAsia"/>
        </w:rPr>
      </w:pPr>
      <w:r>
        <w:rPr>
          <w:rFonts w:hint="eastAsia"/>
        </w:rPr>
        <w:t>eGPS测量控制网的无约束平差，应符合下列规定：</w:t>
      </w:r>
    </w:p>
    <w:p w14:paraId="7178457A">
      <w:pPr>
        <w:ind w:firstLine="560"/>
        <w:rPr>
          <w:rFonts w:hint="eastAsia"/>
        </w:rPr>
      </w:pPr>
      <w:r>
        <w:rPr>
          <w:rFonts w:hint="eastAsia"/>
        </w:rPr>
        <w:t>应在WGS—84坐标系中进行三维无约束平差。并提供各观测点在WGS—84坐标系中的三维坐标、各基线向量三个坐标差观测值的改正数、基线长度、基线方位及相关的精度信息等。</w:t>
      </w:r>
    </w:p>
    <w:p w14:paraId="2E0E4EF6">
      <w:pPr>
        <w:ind w:firstLine="560"/>
        <w:rPr>
          <w:rFonts w:hint="eastAsia"/>
        </w:rPr>
      </w:pPr>
      <w:r>
        <w:rPr>
          <w:rFonts w:hint="eastAsia"/>
        </w:rPr>
        <w:t>无约束平差的基线向量改正数的绝对值，不应超过相应等级的基线长度中误差的3倍。</w:t>
      </w:r>
    </w:p>
    <w:p w14:paraId="75F7EDBC">
      <w:pPr>
        <w:ind w:firstLine="560"/>
        <w:rPr>
          <w:rFonts w:hint="eastAsia"/>
        </w:rPr>
      </w:pPr>
      <w:r>
        <w:rPr>
          <w:rFonts w:hint="eastAsia"/>
        </w:rPr>
        <w:t>fGPS测量控制网的约束平差，应符合下列规定：</w:t>
      </w:r>
    </w:p>
    <w:p w14:paraId="4368323E">
      <w:pPr>
        <w:ind w:firstLine="560"/>
        <w:rPr>
          <w:rFonts w:hint="eastAsia"/>
        </w:rPr>
      </w:pPr>
      <w:r>
        <w:rPr>
          <w:rFonts w:hint="eastAsia"/>
        </w:rPr>
        <w:t>应在国家坐标系或地方坐标系中进行二维或三维约束平差。</w:t>
      </w:r>
    </w:p>
    <w:p w14:paraId="0F5C5290">
      <w:pPr>
        <w:ind w:firstLine="560"/>
        <w:rPr>
          <w:rFonts w:hint="eastAsia"/>
        </w:rPr>
      </w:pPr>
      <w:r>
        <w:rPr>
          <w:rFonts w:hint="eastAsia"/>
        </w:rPr>
        <w:t>对于已知坐标、距离或方位，可以强制约束，也可加权约束。约束点间的边长相对中误差，应满足上文中相应等级的规定。</w:t>
      </w:r>
    </w:p>
    <w:p w14:paraId="63D81036">
      <w:pPr>
        <w:ind w:firstLine="560"/>
        <w:rPr>
          <w:rFonts w:hint="eastAsia"/>
        </w:rPr>
      </w:pPr>
      <w:r>
        <w:rPr>
          <w:rFonts w:hint="eastAsia"/>
        </w:rPr>
        <w:t>平差结果，应输出观测点在相应坐标系中的二维或三维坐标、基线向量的改正数、基线长度、基线方位角等，以及相关的精度信息。需要时，还应输出坐标转换参数及其精度信息。</w:t>
      </w:r>
    </w:p>
    <w:p w14:paraId="72F2E6C5">
      <w:pPr>
        <w:ind w:firstLine="560"/>
        <w:rPr>
          <w:rFonts w:hint="eastAsia"/>
        </w:rPr>
      </w:pPr>
      <w:r>
        <w:rPr>
          <w:rFonts w:hint="eastAsia"/>
        </w:rPr>
        <w:t>三）导线测量</w:t>
      </w:r>
    </w:p>
    <w:p w14:paraId="6B8BF6C5">
      <w:pPr>
        <w:ind w:firstLine="560"/>
        <w:rPr>
          <w:rFonts w:hint="eastAsia"/>
        </w:rPr>
      </w:pPr>
      <w:r>
        <w:rPr>
          <w:rFonts w:hint="eastAsia"/>
        </w:rPr>
        <w:t>A、导线测量的主要技术要求</w:t>
      </w:r>
    </w:p>
    <w:p w14:paraId="7386D049">
      <w:pPr>
        <w:ind w:firstLine="560"/>
        <w:rPr>
          <w:rFonts w:hint="eastAsia"/>
        </w:rPr>
      </w:pPr>
      <w:r>
        <w:rPr>
          <w:rFonts w:hint="eastAsia"/>
        </w:rPr>
        <w:t>a各等级导线测量的主要技术要求，应符合下表的规定。</w:t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8"/>
        <w:gridCol w:w="521"/>
        <w:gridCol w:w="521"/>
        <w:gridCol w:w="1262"/>
        <w:gridCol w:w="1072"/>
        <w:gridCol w:w="899"/>
        <w:gridCol w:w="651"/>
        <w:gridCol w:w="651"/>
        <w:gridCol w:w="654"/>
        <w:gridCol w:w="832"/>
        <w:gridCol w:w="900"/>
      </w:tblGrid>
      <w:tr w14:paraId="2974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" w:type="pct"/>
            <w:vMerge w:val="restart"/>
            <w:vAlign w:val="center"/>
          </w:tcPr>
          <w:p w14:paraId="15F16FF1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等级</w:t>
            </w:r>
          </w:p>
        </w:tc>
        <w:tc>
          <w:tcPr>
            <w:tcW w:w="317" w:type="pct"/>
            <w:vMerge w:val="restart"/>
            <w:vAlign w:val="center"/>
          </w:tcPr>
          <w:p w14:paraId="6A6027E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导线</w:t>
            </w:r>
          </w:p>
          <w:p w14:paraId="05E86B7E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长度km</w:t>
            </w:r>
          </w:p>
        </w:tc>
        <w:tc>
          <w:tcPr>
            <w:tcW w:w="317" w:type="pct"/>
            <w:vMerge w:val="restart"/>
            <w:vAlign w:val="center"/>
          </w:tcPr>
          <w:p w14:paraId="407083AF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平均</w:t>
            </w:r>
          </w:p>
          <w:p w14:paraId="3778B248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边长km</w:t>
            </w:r>
          </w:p>
        </w:tc>
        <w:tc>
          <w:tcPr>
            <w:tcW w:w="762" w:type="pct"/>
            <w:vMerge w:val="restart"/>
            <w:vAlign w:val="center"/>
          </w:tcPr>
          <w:p w14:paraId="2C5C489A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测角中误差</w:t>
            </w:r>
            <w:r>
              <w:rPr>
                <w:rFonts w:hint="eastAsia"/>
                <w:kern w:val="0"/>
                <w:lang w:eastAsia="zh-CN"/>
              </w:rPr>
              <w:t>（秒）</w:t>
            </w:r>
          </w:p>
        </w:tc>
        <w:tc>
          <w:tcPr>
            <w:tcW w:w="648" w:type="pct"/>
            <w:vMerge w:val="restart"/>
            <w:vAlign w:val="center"/>
          </w:tcPr>
          <w:p w14:paraId="6B5A0A9E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测距中误差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mm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  <w:tc>
          <w:tcPr>
            <w:tcW w:w="544" w:type="pct"/>
            <w:vMerge w:val="restart"/>
            <w:vAlign w:val="center"/>
          </w:tcPr>
          <w:p w14:paraId="785644F5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测距相对中误差</w:t>
            </w:r>
          </w:p>
        </w:tc>
        <w:tc>
          <w:tcPr>
            <w:tcW w:w="1187" w:type="pct"/>
            <w:gridSpan w:val="3"/>
            <w:vAlign w:val="center"/>
          </w:tcPr>
          <w:p w14:paraId="20A06B0F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测回数</w:t>
            </w:r>
          </w:p>
        </w:tc>
        <w:tc>
          <w:tcPr>
            <w:tcW w:w="464" w:type="pct"/>
            <w:vMerge w:val="restart"/>
            <w:vAlign w:val="center"/>
          </w:tcPr>
          <w:p w14:paraId="4537E242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方位角</w:t>
            </w:r>
          </w:p>
          <w:p w14:paraId="0BEFE694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闭合差</w:t>
            </w:r>
          </w:p>
          <w:p w14:paraId="0D6D8520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（秒）</w:t>
            </w:r>
          </w:p>
        </w:tc>
        <w:tc>
          <w:tcPr>
            <w:tcW w:w="544" w:type="pct"/>
            <w:vMerge w:val="restart"/>
            <w:vAlign w:val="center"/>
          </w:tcPr>
          <w:p w14:paraId="3D98C96F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导线全长相对闭合差</w:t>
            </w:r>
          </w:p>
        </w:tc>
      </w:tr>
      <w:tr w14:paraId="54B6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" w:type="pct"/>
            <w:vMerge w:val="continue"/>
            <w:vAlign w:val="center"/>
          </w:tcPr>
          <w:p w14:paraId="735E5304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317" w:type="pct"/>
            <w:vMerge w:val="continue"/>
            <w:vAlign w:val="center"/>
          </w:tcPr>
          <w:p w14:paraId="04A3BA11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317" w:type="pct"/>
            <w:vMerge w:val="continue"/>
            <w:vAlign w:val="center"/>
          </w:tcPr>
          <w:p w14:paraId="1825CA29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762" w:type="pct"/>
            <w:vMerge w:val="continue"/>
            <w:vAlign w:val="center"/>
          </w:tcPr>
          <w:p w14:paraId="7CC95245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648" w:type="pct"/>
            <w:vMerge w:val="continue"/>
            <w:vAlign w:val="center"/>
          </w:tcPr>
          <w:p w14:paraId="526616EE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544" w:type="pct"/>
            <w:vMerge w:val="continue"/>
            <w:vAlign w:val="center"/>
          </w:tcPr>
          <w:p w14:paraId="318A77A9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395" w:type="pct"/>
            <w:vAlign w:val="center"/>
          </w:tcPr>
          <w:p w14:paraId="281D6803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rFonts w:hint="eastAsia"/>
                <w:kern w:val="0"/>
                <w:lang w:eastAsia="zh-CN"/>
              </w:rPr>
              <w:t>秒</w:t>
            </w:r>
            <w:r>
              <w:rPr>
                <w:rFonts w:hint="eastAsia"/>
                <w:kern w:val="0"/>
              </w:rPr>
              <w:t>级仪器</w:t>
            </w:r>
          </w:p>
        </w:tc>
        <w:tc>
          <w:tcPr>
            <w:tcW w:w="395" w:type="pct"/>
            <w:vAlign w:val="center"/>
          </w:tcPr>
          <w:p w14:paraId="0B2BF7D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  <w:r>
              <w:rPr>
                <w:rFonts w:hint="eastAsia"/>
                <w:kern w:val="0"/>
                <w:lang w:eastAsia="zh-CN"/>
              </w:rPr>
              <w:t>秒</w:t>
            </w:r>
            <w:r>
              <w:rPr>
                <w:rFonts w:hint="eastAsia"/>
                <w:kern w:val="0"/>
              </w:rPr>
              <w:t>级仪器</w:t>
            </w:r>
          </w:p>
        </w:tc>
        <w:tc>
          <w:tcPr>
            <w:tcW w:w="396" w:type="pct"/>
            <w:vAlign w:val="center"/>
          </w:tcPr>
          <w:p w14:paraId="30D07250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  <w:r>
              <w:rPr>
                <w:rFonts w:hint="eastAsia"/>
                <w:kern w:val="0"/>
                <w:lang w:eastAsia="zh-CN"/>
              </w:rPr>
              <w:t>秒</w:t>
            </w:r>
            <w:r>
              <w:rPr>
                <w:rFonts w:hint="eastAsia"/>
                <w:kern w:val="0"/>
              </w:rPr>
              <w:t>级仪器</w:t>
            </w:r>
          </w:p>
        </w:tc>
        <w:tc>
          <w:tcPr>
            <w:tcW w:w="464" w:type="pct"/>
            <w:vMerge w:val="continue"/>
            <w:vAlign w:val="center"/>
          </w:tcPr>
          <w:p w14:paraId="47BE342A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  <w:tc>
          <w:tcPr>
            <w:tcW w:w="544" w:type="pct"/>
            <w:vMerge w:val="continue"/>
            <w:vAlign w:val="center"/>
          </w:tcPr>
          <w:p w14:paraId="66E40593">
            <w:pPr>
              <w:pStyle w:val="34"/>
              <w:spacing w:line="240" w:lineRule="auto"/>
              <w:rPr>
                <w:rFonts w:hint="eastAsia"/>
                <w:kern w:val="0"/>
              </w:rPr>
            </w:pPr>
          </w:p>
        </w:tc>
      </w:tr>
      <w:tr w14:paraId="03CC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13" w:type="pct"/>
            <w:vAlign w:val="center"/>
          </w:tcPr>
          <w:p w14:paraId="0150B5A5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317" w:type="pct"/>
            <w:vAlign w:val="center"/>
          </w:tcPr>
          <w:p w14:paraId="10553790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14</w:t>
            </w:r>
          </w:p>
        </w:tc>
        <w:tc>
          <w:tcPr>
            <w:tcW w:w="317" w:type="pct"/>
            <w:vAlign w:val="center"/>
          </w:tcPr>
          <w:p w14:paraId="304140C5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762" w:type="pct"/>
            <w:vAlign w:val="center"/>
          </w:tcPr>
          <w:p w14:paraId="525E800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1.8</w:t>
            </w:r>
          </w:p>
        </w:tc>
        <w:tc>
          <w:tcPr>
            <w:tcW w:w="648" w:type="pct"/>
            <w:vAlign w:val="center"/>
          </w:tcPr>
          <w:p w14:paraId="0E633094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20</w:t>
            </w:r>
          </w:p>
        </w:tc>
        <w:tc>
          <w:tcPr>
            <w:tcW w:w="544" w:type="pct"/>
            <w:vAlign w:val="center"/>
          </w:tcPr>
          <w:p w14:paraId="0E4B6241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1/150000</w:t>
            </w:r>
          </w:p>
        </w:tc>
        <w:tc>
          <w:tcPr>
            <w:tcW w:w="395" w:type="pct"/>
            <w:vAlign w:val="center"/>
          </w:tcPr>
          <w:p w14:paraId="7D050BD6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395" w:type="pct"/>
            <w:vAlign w:val="center"/>
          </w:tcPr>
          <w:p w14:paraId="45A401B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396" w:type="pct"/>
            <w:vAlign w:val="center"/>
          </w:tcPr>
          <w:p w14:paraId="3FE35FD7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464" w:type="pct"/>
            <w:vAlign w:val="center"/>
          </w:tcPr>
          <w:p w14:paraId="10E08D15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3.6n</w:t>
            </w:r>
            <w:r>
              <w:rPr>
                <w:rFonts w:hint="eastAsia"/>
                <w:kern w:val="0"/>
                <w:vertAlign w:val="superscript"/>
                <w:lang w:eastAsia="zh-CN"/>
              </w:rPr>
              <w:t>1/2</w:t>
            </w:r>
          </w:p>
        </w:tc>
        <w:tc>
          <w:tcPr>
            <w:tcW w:w="544" w:type="pct"/>
            <w:vAlign w:val="center"/>
          </w:tcPr>
          <w:p w14:paraId="1191072B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≤1/55000</w:t>
            </w:r>
          </w:p>
        </w:tc>
      </w:tr>
      <w:tr w14:paraId="3A6E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" w:type="pct"/>
            <w:vAlign w:val="center"/>
          </w:tcPr>
          <w:p w14:paraId="60164F09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317" w:type="pct"/>
            <w:vAlign w:val="center"/>
          </w:tcPr>
          <w:p w14:paraId="52E2F086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317" w:type="pct"/>
            <w:vAlign w:val="center"/>
          </w:tcPr>
          <w:p w14:paraId="67321FDE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1.5</w:t>
            </w:r>
          </w:p>
        </w:tc>
        <w:tc>
          <w:tcPr>
            <w:tcW w:w="762" w:type="pct"/>
            <w:vAlign w:val="center"/>
          </w:tcPr>
          <w:p w14:paraId="08FD63AA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2.5</w:t>
            </w:r>
          </w:p>
        </w:tc>
        <w:tc>
          <w:tcPr>
            <w:tcW w:w="648" w:type="pct"/>
            <w:vAlign w:val="center"/>
          </w:tcPr>
          <w:p w14:paraId="7BE52654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18</w:t>
            </w:r>
          </w:p>
        </w:tc>
        <w:tc>
          <w:tcPr>
            <w:tcW w:w="544" w:type="pct"/>
            <w:vAlign w:val="center"/>
          </w:tcPr>
          <w:p w14:paraId="20FC5FDA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1/80000</w:t>
            </w:r>
          </w:p>
        </w:tc>
        <w:tc>
          <w:tcPr>
            <w:tcW w:w="395" w:type="pct"/>
            <w:vAlign w:val="center"/>
          </w:tcPr>
          <w:p w14:paraId="0CF5E113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95" w:type="pct"/>
            <w:vAlign w:val="center"/>
          </w:tcPr>
          <w:p w14:paraId="4FC85631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396" w:type="pct"/>
            <w:vAlign w:val="center"/>
          </w:tcPr>
          <w:p w14:paraId="539F69CB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464" w:type="pct"/>
            <w:vAlign w:val="center"/>
          </w:tcPr>
          <w:p w14:paraId="25AA8257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5n</w:t>
            </w:r>
            <w:r>
              <w:rPr>
                <w:rFonts w:hint="eastAsia"/>
                <w:kern w:val="0"/>
                <w:vertAlign w:val="superscript"/>
                <w:lang w:eastAsia="zh-CN"/>
              </w:rPr>
              <w:t>1/2</w:t>
            </w:r>
          </w:p>
        </w:tc>
        <w:tc>
          <w:tcPr>
            <w:tcW w:w="544" w:type="pct"/>
            <w:vAlign w:val="center"/>
          </w:tcPr>
          <w:p w14:paraId="1957052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≤1/35000</w:t>
            </w:r>
          </w:p>
        </w:tc>
      </w:tr>
      <w:tr w14:paraId="7649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" w:type="pct"/>
            <w:vAlign w:val="center"/>
          </w:tcPr>
          <w:p w14:paraId="2CE7D0CF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317" w:type="pct"/>
            <w:vAlign w:val="center"/>
          </w:tcPr>
          <w:p w14:paraId="54425D21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17" w:type="pct"/>
            <w:vAlign w:val="center"/>
          </w:tcPr>
          <w:p w14:paraId="10FBA337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0.5</w:t>
            </w:r>
          </w:p>
        </w:tc>
        <w:tc>
          <w:tcPr>
            <w:tcW w:w="762" w:type="pct"/>
            <w:vAlign w:val="center"/>
          </w:tcPr>
          <w:p w14:paraId="20B141D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648" w:type="pct"/>
            <w:vAlign w:val="center"/>
          </w:tcPr>
          <w:p w14:paraId="4B385655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544" w:type="pct"/>
            <w:vAlign w:val="center"/>
          </w:tcPr>
          <w:p w14:paraId="4B54EAA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1/30000</w:t>
            </w:r>
          </w:p>
        </w:tc>
        <w:tc>
          <w:tcPr>
            <w:tcW w:w="395" w:type="pct"/>
            <w:vAlign w:val="center"/>
          </w:tcPr>
          <w:p w14:paraId="13BBA2A0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395" w:type="pct"/>
            <w:vAlign w:val="center"/>
          </w:tcPr>
          <w:p w14:paraId="205A9B4F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96" w:type="pct"/>
            <w:vAlign w:val="center"/>
          </w:tcPr>
          <w:p w14:paraId="4F04EE9B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464" w:type="pct"/>
            <w:vAlign w:val="center"/>
          </w:tcPr>
          <w:p w14:paraId="0B428009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10n</w:t>
            </w:r>
            <w:r>
              <w:rPr>
                <w:rFonts w:hint="eastAsia"/>
                <w:kern w:val="0"/>
                <w:vertAlign w:val="superscript"/>
                <w:lang w:eastAsia="zh-CN"/>
              </w:rPr>
              <w:t>1/2</w:t>
            </w:r>
          </w:p>
        </w:tc>
        <w:tc>
          <w:tcPr>
            <w:tcW w:w="544" w:type="pct"/>
            <w:vAlign w:val="center"/>
          </w:tcPr>
          <w:p w14:paraId="113696F0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≤1/15000</w:t>
            </w:r>
          </w:p>
        </w:tc>
      </w:tr>
      <w:tr w14:paraId="22C6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" w:type="pct"/>
            <w:vAlign w:val="center"/>
          </w:tcPr>
          <w:p w14:paraId="727B52F7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二级</w:t>
            </w:r>
          </w:p>
        </w:tc>
        <w:tc>
          <w:tcPr>
            <w:tcW w:w="317" w:type="pct"/>
            <w:vAlign w:val="center"/>
          </w:tcPr>
          <w:p w14:paraId="002ACEFC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2.4</w:t>
            </w:r>
          </w:p>
        </w:tc>
        <w:tc>
          <w:tcPr>
            <w:tcW w:w="317" w:type="pct"/>
            <w:vAlign w:val="center"/>
          </w:tcPr>
          <w:p w14:paraId="055359C4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0.25</w:t>
            </w:r>
          </w:p>
        </w:tc>
        <w:tc>
          <w:tcPr>
            <w:tcW w:w="762" w:type="pct"/>
            <w:vAlign w:val="center"/>
          </w:tcPr>
          <w:p w14:paraId="69A75ADE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648" w:type="pct"/>
            <w:vAlign w:val="center"/>
          </w:tcPr>
          <w:p w14:paraId="5455D45E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544" w:type="pct"/>
            <w:vAlign w:val="center"/>
          </w:tcPr>
          <w:p w14:paraId="7BC10C69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1/14000</w:t>
            </w:r>
          </w:p>
        </w:tc>
        <w:tc>
          <w:tcPr>
            <w:tcW w:w="395" w:type="pct"/>
            <w:vAlign w:val="center"/>
          </w:tcPr>
          <w:p w14:paraId="3806186C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395" w:type="pct"/>
            <w:vAlign w:val="center"/>
          </w:tcPr>
          <w:p w14:paraId="5CE3BFE0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96" w:type="pct"/>
            <w:vAlign w:val="center"/>
          </w:tcPr>
          <w:p w14:paraId="2844C9A5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464" w:type="pct"/>
            <w:vAlign w:val="center"/>
          </w:tcPr>
          <w:p w14:paraId="71F88D8A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16n</w:t>
            </w:r>
            <w:r>
              <w:rPr>
                <w:rFonts w:hint="eastAsia"/>
                <w:kern w:val="0"/>
                <w:vertAlign w:val="superscript"/>
                <w:lang w:eastAsia="zh-CN"/>
              </w:rPr>
              <w:t>1/2</w:t>
            </w:r>
          </w:p>
        </w:tc>
        <w:tc>
          <w:tcPr>
            <w:tcW w:w="544" w:type="pct"/>
            <w:vAlign w:val="center"/>
          </w:tcPr>
          <w:p w14:paraId="675AD5BA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≤1/10000</w:t>
            </w:r>
          </w:p>
        </w:tc>
      </w:tr>
      <w:tr w14:paraId="17C84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" w:type="pct"/>
            <w:vAlign w:val="center"/>
          </w:tcPr>
          <w:p w14:paraId="25857918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三级</w:t>
            </w:r>
          </w:p>
        </w:tc>
        <w:tc>
          <w:tcPr>
            <w:tcW w:w="317" w:type="pct"/>
            <w:vAlign w:val="center"/>
          </w:tcPr>
          <w:p w14:paraId="0C8350A2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1.2</w:t>
            </w:r>
          </w:p>
        </w:tc>
        <w:tc>
          <w:tcPr>
            <w:tcW w:w="317" w:type="pct"/>
            <w:vAlign w:val="center"/>
          </w:tcPr>
          <w:p w14:paraId="24B91232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0.1</w:t>
            </w:r>
          </w:p>
        </w:tc>
        <w:tc>
          <w:tcPr>
            <w:tcW w:w="762" w:type="pct"/>
            <w:vAlign w:val="center"/>
          </w:tcPr>
          <w:p w14:paraId="6AFBDC9B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648" w:type="pct"/>
            <w:vAlign w:val="center"/>
          </w:tcPr>
          <w:p w14:paraId="5B4B1B58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544" w:type="pct"/>
            <w:vAlign w:val="center"/>
          </w:tcPr>
          <w:p w14:paraId="6B64F4AE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1/7000</w:t>
            </w:r>
          </w:p>
        </w:tc>
        <w:tc>
          <w:tcPr>
            <w:tcW w:w="395" w:type="pct"/>
            <w:vAlign w:val="center"/>
          </w:tcPr>
          <w:p w14:paraId="1B0B9EC4">
            <w:pPr>
              <w:pStyle w:val="34"/>
              <w:spacing w:line="240" w:lineRule="auto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395" w:type="pct"/>
            <w:vAlign w:val="center"/>
          </w:tcPr>
          <w:p w14:paraId="27D679E1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96" w:type="pct"/>
            <w:vAlign w:val="center"/>
          </w:tcPr>
          <w:p w14:paraId="6A0E7AD0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464" w:type="pct"/>
            <w:vAlign w:val="center"/>
          </w:tcPr>
          <w:p w14:paraId="488A61BE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24n</w:t>
            </w:r>
            <w:r>
              <w:rPr>
                <w:rFonts w:hint="eastAsia"/>
                <w:kern w:val="0"/>
                <w:vertAlign w:val="superscript"/>
                <w:lang w:eastAsia="zh-CN"/>
              </w:rPr>
              <w:t>1/2</w:t>
            </w:r>
          </w:p>
        </w:tc>
        <w:tc>
          <w:tcPr>
            <w:tcW w:w="544" w:type="pct"/>
            <w:vAlign w:val="center"/>
          </w:tcPr>
          <w:p w14:paraId="7FD48A3D">
            <w:pPr>
              <w:pStyle w:val="34"/>
              <w:spacing w:line="24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≤1/5000</w:t>
            </w:r>
          </w:p>
        </w:tc>
      </w:tr>
    </w:tbl>
    <w:p w14:paraId="7A31A4AA">
      <w:pPr>
        <w:ind w:firstLine="560"/>
        <w:rPr>
          <w:rFonts w:hint="eastAsia"/>
        </w:rPr>
      </w:pPr>
      <w:r>
        <w:rPr>
          <w:rFonts w:hint="eastAsia"/>
        </w:rPr>
        <w:t>注：1表中n为测站数。</w:t>
      </w:r>
    </w:p>
    <w:p w14:paraId="04CEAF15">
      <w:pPr>
        <w:ind w:firstLine="560"/>
      </w:pPr>
      <w:r>
        <w:rPr>
          <w:rFonts w:hint="eastAsia"/>
        </w:rPr>
        <w:t>2当测区测图的最大比例尺为1：1</w:t>
      </w:r>
      <w:r>
        <w:rPr>
          <w:rFonts w:hint="eastAsia"/>
          <w:color w:val="EE0000"/>
        </w:rPr>
        <w:t>.</w:t>
      </w:r>
    </w:p>
    <w:p w14:paraId="5564A2D5">
      <w:pPr>
        <w:ind w:firstLine="560"/>
        <w:rPr>
          <w:rFonts w:hint="eastAsia"/>
        </w:rPr>
      </w:pPr>
      <w:r>
        <w:rPr>
          <w:rFonts w:hint="eastAsia"/>
        </w:rPr>
        <w:t>地形图要素分类代码，宜采用现行国家标准《1：500、1：1000、1：2000地形图要素分类与代码》（GB14804）和《1：5000、1：10000、1：25000、1：50000、1：100000地形图要素分类与代码》（GB/T15660）。</w:t>
      </w:r>
    </w:p>
    <w:p w14:paraId="51401B79">
      <w:pPr>
        <w:ind w:firstLine="560"/>
        <w:rPr>
          <w:rFonts w:hint="eastAsia"/>
        </w:rPr>
      </w:pPr>
    </w:p>
    <w:p w14:paraId="76728BD9">
      <w:pPr>
        <w:ind w:firstLine="560"/>
        <w:rPr>
          <w:rFonts w:hint="eastAsia"/>
        </w:rPr>
      </w:pPr>
    </w:p>
    <w:p w14:paraId="5808E894">
      <w:pPr>
        <w:ind w:firstLine="560"/>
        <w:rPr>
          <w:rFonts w:hint="eastAsia"/>
        </w:rPr>
      </w:pPr>
      <w:r>
        <w:rPr>
          <w:rFonts w:hint="eastAsia"/>
        </w:rPr>
        <w:t xml:space="preserve"> report.docx</w:t>
      </w:r>
    </w:p>
    <w:p w14:paraId="16EE8DAE">
      <w:pPr>
        <w:ind w:firstLine="560"/>
        <w:rPr>
          <w:rFonts w:hint="eastAsia"/>
        </w:rPr>
      </w:pPr>
      <w:r>
        <w:rPr>
          <w:rFonts w:hint="eastAsia"/>
        </w:rPr>
        <w:t xml:space="preserve">e.g.     </w:t>
      </w:r>
    </w:p>
    <w:p w14:paraId="73817C61">
      <w:pPr>
        <w:ind w:firstLine="560"/>
        <w:rPr>
          <w:rFonts w:hint="eastAsia"/>
        </w:rPr>
      </w:pPr>
      <w:r>
        <w:rPr>
          <w:rFonts w:hint="eastAsia"/>
        </w:rPr>
        <w:t xml:space="preserve">3.5cm   </w:t>
      </w:r>
    </w:p>
    <w:p w14:paraId="1B092247">
      <w:pPr>
        <w:ind w:firstLine="560"/>
        <w:rPr>
          <w:rFonts w:hint="default"/>
          <w:lang w:val="en-US"/>
        </w:rPr>
      </w:pPr>
      <w:r>
        <w:rPr>
          <w:rFonts w:hint="default"/>
          <w:lang w:val="en-US"/>
        </w:rPr>
        <w:t>6666.3Km</w:t>
      </w:r>
    </w:p>
    <w:p w14:paraId="43E914FE">
      <w:pPr>
        <w:ind w:firstLine="560"/>
        <w:rPr>
          <w:rFonts w:hint="default"/>
          <w:lang w:val="en-US"/>
        </w:rPr>
      </w:pPr>
      <w:r>
        <w:rPr>
          <w:rFonts w:hint="default"/>
          <w:lang w:val="en-US"/>
        </w:rPr>
        <w:t xml:space="preserve">www.example.com  </w:t>
      </w:r>
    </w:p>
    <w:p w14:paraId="23E92609">
      <w:pPr>
        <w:ind w:firstLine="560"/>
        <w:rPr>
          <w:rFonts w:hint="default"/>
          <w:lang w:val="en-US"/>
        </w:rPr>
      </w:pPr>
      <w:r>
        <w:rPr>
          <w:rFonts w:hint="default"/>
          <w:lang w:val="en-US"/>
        </w:rPr>
        <w:t>3.14</w:t>
      </w:r>
    </w:p>
    <w:p w14:paraId="19DBD4DF">
      <w:pPr>
        <w:ind w:firstLine="560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《中国工厂但》执行第1.3.5.8条条例中的第5.6.8章内容</w:t>
      </w:r>
      <w:bookmarkStart w:id="0" w:name="_GoBack"/>
      <w:bookmarkEnd w:id="0"/>
    </w:p>
    <w:p w14:paraId="610BFCFF">
      <w:pPr>
        <w:ind w:firstLine="560"/>
        <w:rPr>
          <w:rFonts w:hint="eastAsia"/>
        </w:rPr>
      </w:pPr>
    </w:p>
    <w:p w14:paraId="2F22640A">
      <w:pPr>
        <w:ind w:firstLine="5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837"/>
    <w:rsid w:val="00E03837"/>
    <w:rsid w:val="00E73BB7"/>
    <w:rsid w:val="7FFF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after="0" w:line="600" w:lineRule="exact"/>
      <w:ind w:firstLine="420" w:firstLineChars="200"/>
      <w:textAlignment w:val="center"/>
    </w:pPr>
    <w:rPr>
      <w:rFonts w:ascii="SimSun" w:hAnsi="SimSun" w:eastAsia="SimSun" w:cs="SimSun"/>
      <w:kern w:val="2"/>
      <w:sz w:val="28"/>
      <w:szCs w:val="28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ordWrap/>
      <w:spacing w:before="480" w:after="80" w:line="278" w:lineRule="auto"/>
      <w:ind w:firstLine="0" w:firstLineChars="0"/>
      <w:textAlignment w:val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3"/>
    </w:pPr>
    <w:rPr>
      <w:rFonts w:asciiTheme="minorHAnsi" w:hAnsiTheme="minorHAnsi" w:eastAsiaTheme="minorEastAsia" w:cstheme="majorBidi"/>
      <w:color w:val="2F5597" w:themeColor="accent1" w:themeShade="BF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wordWrap/>
      <w:spacing w:after="160" w:line="278" w:lineRule="auto"/>
      <w:jc w:val="center"/>
      <w:textAlignment w:val="auto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wordWrap/>
      <w:spacing w:after="80" w:line="240" w:lineRule="auto"/>
      <w:ind w:firstLine="0" w:firstLineChars="0"/>
      <w:contextualSpacing/>
      <w:jc w:val="center"/>
      <w:textAlignment w:val="auto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wordWrap/>
      <w:spacing w:before="160" w:after="160" w:line="278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wordWrap/>
      <w:spacing w:after="160" w:line="278" w:lineRule="auto"/>
      <w:ind w:left="720" w:firstLine="0" w:firstLineChars="0"/>
      <w:contextualSpacing/>
      <w:textAlignment w:val="auto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wordWrap/>
      <w:spacing w:before="360" w:after="360" w:line="278" w:lineRule="auto"/>
      <w:ind w:left="864" w:right="864"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:szCs w:val="24"/>
      <w14:ligatures w14:val="standardContextual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3">
    <w:name w:val="Table Normal"/>
    <w:semiHidden/>
    <w:unhideWhenUsed/>
    <w:qFormat/>
    <w:uiPriority w:val="2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表格"/>
    <w:basedOn w:val="1"/>
    <w:next w:val="1"/>
    <w:qFormat/>
    <w:uiPriority w:val="0"/>
    <w:pPr>
      <w:keepLines/>
      <w:ind w:firstLine="0" w:firstLineChars="0"/>
    </w:pPr>
    <w:rPr>
      <w:spacing w:val="-3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1609</Words>
  <Characters>1627</Characters>
  <Lines>77</Lines>
  <Paragraphs>78</Paragraphs>
  <TotalTime>5</TotalTime>
  <ScaleCrop>false</ScaleCrop>
  <LinksUpToDate>false</LinksUpToDate>
  <CharactersWithSpaces>3158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2026-06-25T14:37:00Z</dcterms:created>
  <dc:creator>mingzhu wang</dc:creator>
  <cp:lastModifiedBy>pengxiaolei</cp:lastModifiedBy>
  <dcterms:modified xsi:type="dcterms:W3CDTF">2026-06-25T14:50:57Z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998760E627D486F0D1CF3C6A19FC8112_42</vt:lpwstr>
  </property>
</Properties>
</file>