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20"/>
      </w:pPr>
      <w:r>
        <w:rPr>
          <w:b/>
          <w:bCs/>
          <w:sz w:val="30"/>
          <w:szCs w:val="30"/>
        </w:rPr>
        <w:t xml:space="preserve">Figure and table legends</w:t>
      </w:r>
    </w:p>
    <w:p>
      <w:pPr>
        <w:spacing w:after="80"/>
      </w:pPr>
      <w:r>
        <w:rPr>
          <w:sz w:val="22"/>
          <w:szCs w:val="22"/>
        </w:rPr>
        <w:t xml:space="preserve">Memory traffic, not arithmetic, governs the cost of edge detection on a battery-powered node</w:t>
      </w:r>
    </w:p>
    <w:p>
      <w:pPr>
        <w:spacing w:after="40"/>
      </w:pPr>
      <w:r>
        <w:rPr>
          <w:sz w:val="18"/>
          <w:szCs w:val="18"/>
        </w:rPr>
        <w:t xml:space="preserve">Lin Ding Shan · Device submission · legends as they appear in the manuscript</w:t>
      </w:r>
    </w:p>
    <w:p>
      <w:pPr>
        <w:spacing w:after="160" w:before="320"/>
      </w:pPr>
      <w:r>
        <w:rPr>
          <w:b/>
          <w:bCs/>
          <w:sz w:val="26"/>
          <w:szCs w:val="26"/>
        </w:rPr>
        <w:t xml:space="preserve">Figure legends</w:t>
      </w:r>
    </w:p>
    <w:p>
      <w:pPr>
        <w:spacing w:after="120" w:before="240"/>
      </w:pPr>
      <w:r>
        <w:rPr>
          <w:b/>
          <w:bCs/>
          <w:sz w:val="22"/>
          <w:szCs w:val="22"/>
        </w:rPr>
        <w:t xml:space="preserve">Figure 1</w:t>
      </w:r>
    </w:p>
    <w:p>
      <w:pPr>
        <w:spacing w:after="160" w:line="320"/>
      </w:pPr>
      <w:r>
        <w:rPr>
          <w:b/>
          <w:bCs/>
        </w:rPr>
        <w:t xml:space="preserve">Memory traffic, not arithmetic, governs latency on this platform.</w:t>
      </w:r>
      <w:r>
        <w:t xml:space="preserve"> Ratios of 1,280 to 640 for the unified detector — one architecture, one backbone, one thread count, with no capacity difference between the two conditions. Quadrupling the input area scales arithmetic exactly (4.00×), but last-level cache read misses grow 4.94× and measured wall-clock latency lands at 4.37×, between the two.</w:t>
      </w:r>
    </w:p>
    <w:p>
      <w:pPr>
        <w:spacing w:after="200" w:line="260"/>
      </w:pPr>
      <w:r>
        <w:rPr>
          <w:i w:val="false"/>
          <w:iCs w:val="false"/>
          <w:sz w:val="16"/>
          <w:szCs w:val="16"/>
        </w:rPr>
        <w:t xml:space="preserve">File: Figure1_memory_traffic.pdf  ·  cited first in Results and discussion, “Memory traffic, not arithmetic, governs latency”</w:t>
      </w:r>
    </w:p>
    <w:p>
      <w:pPr>
        <w:spacing w:after="120" w:before="240"/>
      </w:pPr>
      <w:r>
        <w:rPr>
          <w:b/>
          <w:bCs/>
          <w:sz w:val="22"/>
          <w:szCs w:val="22"/>
        </w:rPr>
        <w:t xml:space="preserve">Figure 2</w:t>
      </w:r>
    </w:p>
    <w:p>
      <w:pPr>
        <w:spacing w:after="160" w:line="320"/>
      </w:pPr>
      <w:r>
        <w:rPr>
          <w:b/>
          <w:bCs/>
        </w:rPr>
        <w:t xml:space="preserve">Per-image latency and energy, unified versus separate.</w:t>
      </w:r>
      <w:r>
        <w:t xml:space="preserve"> Mean ± SD over eight trials per configuration, consecutive within one battery session, on battery under the performance governor with four ONNX Runtime intra-op threads. For the separate configuration, per-image latency is the sum of the leaf and pest passes. Because cross-model NMS adds computation on top of two full passes, these figures understate the unified detector’s advantage at the fair operating point.</w:t>
      </w:r>
    </w:p>
    <w:p>
      <w:pPr>
        <w:spacing w:after="200" w:line="260"/>
      </w:pPr>
      <w:r>
        <w:rPr>
          <w:i w:val="false"/>
          <w:iCs w:val="false"/>
          <w:sz w:val="16"/>
          <w:szCs w:val="16"/>
        </w:rPr>
        <w:t xml:space="preserve">File: Figure2_latency_energy.pdf  ·  cited first in Results and discussion, “Measured energy”</w:t>
      </w:r>
    </w:p>
    <w:p>
      <w:pPr>
        <w:spacing w:after="120" w:before="240"/>
      </w:pPr>
      <w:r>
        <w:rPr>
          <w:b/>
          <w:bCs/>
          <w:sz w:val="22"/>
          <w:szCs w:val="22"/>
        </w:rPr>
        <w:t xml:space="preserve">Figure 3</w:t>
      </w:r>
    </w:p>
    <w:p>
      <w:pPr>
        <w:spacing w:after="160" w:line="320"/>
      </w:pPr>
      <w:r>
        <w:rPr>
          <w:b/>
          <w:bCs/>
        </w:rPr>
        <w:t xml:space="preserve">The classes that gain from higher input resolution are the smaller ones, and they carry most of the data.</w:t>
      </w:r>
      <w:r>
        <w:t xml:space="preserve"> Change in AP@0.5 from 640 to 1,280 for the unified detector, against mean bounding-box area (log scale). Six classes gain and six lose; the gaining set has a mean target area of 4,016 px² against 76,794 px² for the losing set, and carries 1,527 of the 1,765 validation instances against 238. Squares mark the two classes declared under-sampled in validation a priori; they are plotted for completeness and not interpreted individually. Excluding both, the area ratio falls from 19× to 9.7× and the rank correlation from ρ = −0.72 to ρ = −0.60 (</w:t>
      </w:r>
      <w:r>
        <w:rPr>
          <w:i/>
          <w:iCs/>
        </w:rPr>
        <w:t xml:space="preserve">p</w:t>
      </w:r>
      <w:r>
        <w:t xml:space="preserve"> = 0.067).</w:t>
      </w:r>
    </w:p>
    <w:p>
      <w:pPr>
        <w:spacing w:after="200" w:line="260"/>
      </w:pPr>
      <w:r>
        <w:rPr>
          <w:i w:val="false"/>
          <w:iCs w:val="false"/>
          <w:sz w:val="16"/>
          <w:szCs w:val="16"/>
        </w:rPr>
        <w:t xml:space="preserve">File: Figure3_ap_gain_vs_area.pdf  ·  cited first in Results and discussion, “Higher resolution buys accuracy on the classes that carry the data”</w:t>
      </w:r>
    </w:p>
    <w:p>
      <w:pPr>
        <w:spacing w:after="120" w:before="240"/>
      </w:pPr>
      <w:r>
        <w:rPr>
          <w:b/>
          <w:bCs/>
          <w:sz w:val="22"/>
          <w:szCs w:val="22"/>
        </w:rPr>
        <w:t xml:space="preserve">Figure 4</w:t>
      </w:r>
    </w:p>
    <w:p>
      <w:pPr>
        <w:spacing w:after="160" w:line="320"/>
      </w:pPr>
      <w:r>
        <w:rPr>
          <w:b/>
          <w:bCs/>
        </w:rPr>
        <w:t xml:space="preserve">Instrumentation and measurement node.</w:t>
      </w:r>
      <w:r>
        <w:t xml:space="preserve"> Power is sampled at the battery pack (13.6–16.7 V), upstream of the HAT’s 5 V buck converter, so the reported draw includes the SoC, the Active Cooler, the HAT’s quiescent consumption, and buck conversion loss. This is the node that sets field endurance, and it is not the node at which published bare-board figures are measured.</w:t>
      </w:r>
    </w:p>
    <w:p>
      <w:pPr>
        <w:spacing w:after="200" w:line="260"/>
      </w:pPr>
      <w:r>
        <w:rPr>
          <w:i w:val="false"/>
          <w:iCs w:val="false"/>
          <w:sz w:val="16"/>
          <w:szCs w:val="16"/>
        </w:rPr>
        <w:t xml:space="preserve">File: Figure4_measurement_chain.pdf  ·  cited first in Experimental procedures, “Platform, runtime, and power instrumentation”</w:t>
      </w:r>
    </w:p>
    <w:p>
      <w:pPr>
        <w:spacing w:after="160" w:before="320"/>
      </w:pPr>
      <w:r>
        <w:rPr>
          <w:b/>
          <w:bCs/>
          <w:sz w:val="26"/>
          <w:szCs w:val="26"/>
        </w:rPr>
        <w:t xml:space="preserve">Graphical abstract</w:t>
      </w:r>
    </w:p>
    <w:p>
      <w:pPr>
        <w:spacing w:after="160" w:line="320"/>
      </w:pPr>
      <w:r>
        <w:t xml:space="preserve">Memory traffic, not arithmetic, governs edge detection cost. Quadrupling the input area scales arithmetic exactly 4.00× but raises last-level cache read misses 4.94× and wall-clock latency 4.37×. One unified detector reduces latency by 30% and energy by 29% against two specialists, and energy measured at the battery pack is 1.3–1.8× published board-level power figures.</w:t>
      </w:r>
    </w:p>
    <w:p>
      <w:pPr>
        <w:spacing w:after="200" w:line="260"/>
      </w:pPr>
      <w:r>
        <w:rPr>
          <w:i w:val="false"/>
          <w:iCs w:val="false"/>
          <w:sz w:val="16"/>
          <w:szCs w:val="16"/>
        </w:rPr>
        <w:t xml:space="preserve">File: GraphicalAbstract.tif (1200 × 1200 px, 300 dpi, LZW) · GraphicalAbstract.pdf supplied as vector alternative</w:t>
      </w:r>
    </w:p>
    <w:p>
      <w:pPr>
        <w:spacing w:after="160" w:before="320"/>
      </w:pPr>
      <w:r>
        <w:rPr>
          <w:b/>
          <w:bCs/>
          <w:sz w:val="26"/>
          <w:szCs w:val="26"/>
        </w:rPr>
        <w:t xml:space="preserve">Table titles and footnotes</w:t>
      </w:r>
    </w:p>
    <w:p>
      <w:pPr>
        <w:spacing w:after="120" w:before="240"/>
      </w:pPr>
      <w:r>
        <w:rPr>
          <w:b/>
          <w:bCs/>
          <w:sz w:val="22"/>
          <w:szCs w:val="22"/>
        </w:rPr>
        <w:t xml:space="preserve">Table 1</w:t>
      </w:r>
    </w:p>
    <w:p>
      <w:pPr>
        <w:spacing w:after="160" w:line="320"/>
      </w:pPr>
      <w:r>
        <w:rPr>
          <w:b/>
          <w:bCs/>
        </w:rPr>
        <w:t xml:space="preserve">Model complexity and system behavior.</w:t>
      </w:r>
      <w:r>
        <w:t xml:space="preserve"> Mean ± SD over eight trials, on battery.</w:t>
      </w:r>
    </w:p>
    <w:p>
      <w:pPr>
        <w:spacing w:after="160" w:line="320"/>
      </w:pPr>
      <w:r>
        <w:rPr>
          <w:i/>
          <w:iCs/>
        </w:rPr>
        <w:t xml:space="preserve">Footnote.</w:t>
      </w:r>
      <w:r>
        <w:t xml:space="preserve"> Params and GFLOPs are summed over the models a configuration runs per image. Weight footprint: 36.2/46.3/36.7/47.3 MiB. Active power: 12.26/12.04/11.92/11.84 W. No trial raised the live throttling flag; see the thermal subsection for why the flag is not a reliable witness. Peak temperature is listed for completeness and is not a result. All trials: performance governor, on battery, four ONNX Runtime intra-op threads.</w:t>
      </w:r>
    </w:p>
    <w:p>
      <w:pPr>
        <w:spacing w:after="120" w:before="240"/>
      </w:pPr>
      <w:r>
        <w:rPr>
          <w:b/>
          <w:bCs/>
          <w:sz w:val="22"/>
          <w:szCs w:val="22"/>
        </w:rPr>
        <w:t xml:space="preserve">Table 2</w:t>
      </w:r>
    </w:p>
    <w:p>
      <w:pPr>
        <w:spacing w:after="160" w:line="320"/>
      </w:pPr>
      <w:r>
        <w:rPr>
          <w:b/>
          <w:bCs/>
        </w:rPr>
        <w:t xml:space="preserve">Measured per-image energy and endurance.</w:t>
      </w:r>
      <w:r>
        <w:t xml:space="preserve"> Mean ± SD, on battery.</w:t>
      </w:r>
    </w:p>
    <w:p>
      <w:pPr>
        <w:spacing w:after="160" w:line="320"/>
      </w:pPr>
      <w:r>
        <w:rPr>
          <w:i/>
          <w:iCs/>
        </w:rPr>
        <w:t xml:space="preserve">Footnote.</w:t>
      </w:r>
      <w:r>
        <w:t xml:space="preserve"> Gross energy is the trapezoidal integral of the 2 Hz battery-rail trace divided by 300 images, including the idle floor. Net = (P_active − P_idle) × t. *An arithmetic conversion against nominal capacity at full depth of discharge; an upper bound, not a discharge measurement. One outlier trial is discussed in Note S1.</w:t>
      </w:r>
    </w:p>
    <w:p>
      <w:pPr>
        <w:spacing w:after="120" w:before="240"/>
      </w:pPr>
      <w:r>
        <w:rPr>
          <w:b/>
          <w:bCs/>
          <w:sz w:val="22"/>
          <w:szCs w:val="22"/>
        </w:rPr>
        <w:t xml:space="preserve">Table 3</w:t>
      </w:r>
    </w:p>
    <w:p>
      <w:pPr>
        <w:spacing w:after="160" w:line="320"/>
      </w:pPr>
      <w:r>
        <w:rPr>
          <w:b/>
          <w:bCs/>
        </w:rPr>
        <w:t xml:space="preserve">Mean AP@0.5 under three aggregations.</w:t>
      </w:r>
      <w:r>
        <w:t xml:space="preserve"> Per-class values are given in Table S1.</w:t>
      </w:r>
    </w:p>
    <w:p>
      <w:pPr>
        <w:spacing w:after="160" w:line="320"/>
      </w:pPr>
      <w:r>
        <w:rPr>
          <w:i/>
          <w:iCs/>
        </w:rPr>
        <w:t xml:space="preserve">Footnote.</w:t>
      </w:r>
      <w:r>
        <w:t xml:space="preserve"> †The 10-class macro excludes weevil (4 instances) and Pink_disease (20), declared under-sampled before any comparison (see Experimental procedures). The 12-class macro is the primary metric; the others are robustness checks.</w:t>
      </w:r>
    </w:p>
    <w:p>
      <w:pPr>
        <w:spacing w:after="160" w:before="320"/>
      </w:pPr>
      <w:r>
        <w:rPr>
          <w:b/>
          <w:bCs/>
          <w:sz w:val="26"/>
          <w:szCs w:val="26"/>
        </w:rPr>
        <w:t xml:space="preserve">Supplemental legends</w:t>
      </w:r>
    </w:p>
    <w:p>
      <w:pPr>
        <w:spacing w:after="120" w:before="240"/>
      </w:pPr>
      <w:r>
        <w:rPr>
          <w:b/>
          <w:bCs/>
          <w:sz w:val="22"/>
          <w:szCs w:val="22"/>
        </w:rPr>
        <w:t xml:space="preserve">Table S1</w:t>
      </w:r>
    </w:p>
    <w:p>
      <w:pPr>
        <w:spacing w:after="160" w:line="320"/>
      </w:pPr>
      <w:r>
        <w:rPr>
          <w:b/>
          <w:bCs/>
        </w:rPr>
        <w:t xml:space="preserve">Per-class AP@0.5 on the common 12-class validation set,</w:t>
      </w:r>
      <w:r>
        <w:t xml:space="preserve"> ordered by mean target area. Related to Table 3 and Figure 3.</w:t>
      </w:r>
    </w:p>
    <w:p>
      <w:pPr>
        <w:spacing w:after="160" w:line="320"/>
      </w:pPr>
      <w:r>
        <w:rPr>
          <w:i/>
          <w:iCs/>
        </w:rPr>
        <w:t xml:space="preserve">Footnote.</w:t>
      </w:r>
      <w:r>
        <w:t xml:space="preserve"> Separate columns are under fusion (B2), the fair operating point; B1 means are given in Table 3 of the main text. †Under-sampled in validation; declared non-interpretable a priori on instance count, before any comparison was made.</w:t>
      </w:r>
    </w:p>
    <w:p>
      <w:pPr>
        <w:spacing w:after="120" w:before="240"/>
      </w:pPr>
      <w:r>
        <w:rPr>
          <w:b/>
          <w:bCs/>
          <w:sz w:val="22"/>
          <w:szCs w:val="22"/>
        </w:rPr>
        <w:t xml:space="preserve">Notes S1–S5</w:t>
      </w:r>
    </w:p>
    <w:p>
      <w:pPr>
        <w:spacing w:after="160" w:line="320"/>
      </w:pPr>
      <w:r>
        <w:rPr>
          <w:b/>
          <w:bCs/>
        </w:rPr>
        <w:t xml:space="preserve">Note S1.</w:t>
      </w:r>
      <w:r>
        <w:t xml:space="preserve"> Energy outlier trial. Related to Table 2.</w:t>
      </w:r>
    </w:p>
    <w:p>
      <w:pPr>
        <w:spacing w:after="160" w:line="320"/>
      </w:pPr>
      <w:r>
        <w:rPr>
          <w:b/>
          <w:bCs/>
        </w:rPr>
        <w:t xml:space="preserve">Note S2.</w:t>
      </w:r>
      <w:r>
        <w:t xml:space="preserve"> Thermal statistics and firmware threshold verification. Related to Table 1.</w:t>
      </w:r>
    </w:p>
    <w:p>
      <w:pPr>
        <w:spacing w:after="160" w:line="320"/>
      </w:pPr>
      <w:r>
        <w:rPr>
          <w:b/>
          <w:bCs/>
        </w:rPr>
        <w:t xml:space="preserve">Note S3.</w:t>
      </w:r>
      <w:r>
        <w:t xml:space="preserve"> Gauge characterization and control experiments. Related to Table 2 and Figure 4.</w:t>
      </w:r>
    </w:p>
    <w:p>
      <w:pPr>
        <w:spacing w:after="160" w:line="320"/>
      </w:pPr>
      <w:r>
        <w:rPr>
          <w:b/>
          <w:bCs/>
        </w:rPr>
        <w:t xml:space="preserve">Note S4.</w:t>
      </w:r>
      <w:r>
        <w:t xml:space="preserve"> Cross-export image-identity audit. Related to Table 3 and Table S1.</w:t>
      </w:r>
    </w:p>
    <w:p>
      <w:pPr>
        <w:spacing w:after="160" w:line="320"/>
      </w:pPr>
      <w:r>
        <w:rPr>
          <w:b/>
          <w:bCs/>
        </w:rPr>
        <w:t xml:space="preserve">Note S5.</w:t>
      </w:r>
      <w:r>
        <w:t xml:space="preserve"> Reproducibility across sessions. Related to Table 1.</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2026-08-26T11:56:48.042Z</dcterms:created>
  <dcterms:modified xsi:type="dcterms:W3CDTF">2026-08-26T11:56:48.054Z</dcterms:modified>
</cp:coreProperties>
</file>

<file path=docProps/custom.xml><?xml version="1.0" encoding="utf-8"?>
<Properties xmlns="http://schemas.openxmlformats.org/officeDocument/2006/custom-properties" xmlns:vt="http://schemas.openxmlformats.org/officeDocument/2006/docPropsVTypes"/>
</file>