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p>
      <w:pPr>
        <w:pStyle w:val="Subtitle"/>
      </w:pPr>
      <w:r>
        <w:t xml:space="preserve">Decision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durian</w:t>
      </w:r>
      <w:r>
        <w:t xml:space="preserve"> </w:t>
      </w:r>
      <w:r>
        <w:t xml:space="preserve">(</w:t>
      </w:r>
      <w:r>
        <w:rPr>
          <w:iCs/>
          <w:i/>
        </w:rPr>
        <w:t xml:space="preserve">Durio</w:t>
      </w:r>
      <w:r>
        <w:rPr>
          <w:iCs/>
          <w:i/>
        </w:rPr>
        <w:t xml:space="preserve"> </w:t>
      </w:r>
      <w:r>
        <w:rPr>
          <w:iCs/>
          <w:i/>
        </w:rPr>
        <w:t xml:space="preserve">zibethinus</w:t>
      </w:r>
      <w:r>
        <w:t xml:space="preserve">)</w:t>
      </w:r>
      <w:r>
        <w:t xml:space="preserve"> </w:t>
      </w:r>
      <w:r>
        <w:t xml:space="preserve">disease</w:t>
      </w:r>
      <w:r>
        <w:t xml:space="preserve"> </w:t>
      </w:r>
      <w:r>
        <w:t xml:space="preserve">diagnosis</w:t>
      </w:r>
      <w:r>
        <w:t xml:space="preserve"> </w:t>
      </w:r>
      <w:r>
        <w:t xml:space="preserve">from</w:t>
      </w:r>
      <w:r>
        <w:t xml:space="preserve"> </w:t>
      </w:r>
      <w:r>
        <w:t xml:space="preserve">field</w:t>
      </w:r>
      <w:r>
        <w:t xml:space="preserve"> </w:t>
      </w:r>
      <w:r>
        <w:t xml:space="preserve">photographs:</w:t>
      </w:r>
      <w:r>
        <w:t xml:space="preserve"> </w:t>
      </w:r>
      <w:r>
        <w:t xml:space="preserve">what</w:t>
      </w:r>
      <w:r>
        <w:t xml:space="preserve"> </w:t>
      </w:r>
      <w:r>
        <w:t xml:space="preserve">grouped</w:t>
      </w:r>
      <w:r>
        <w:t xml:space="preserve"> </w:t>
      </w:r>
      <w:r>
        <w:t xml:space="preserve">validation</w:t>
      </w:r>
      <w:r>
        <w:t xml:space="preserve"> </w:t>
      </w:r>
      <w:r>
        <w:t xml:space="preserve">shows</w:t>
      </w:r>
      <w:r>
        <w:t xml:space="preserve"> </w:t>
      </w:r>
      <w:r>
        <w:t xml:space="preserve">about</w:t>
      </w:r>
      <w:r>
        <w:t xml:space="preserve"> </w:t>
      </w:r>
      <w:r>
        <w:t xml:space="preserve">backbone</w:t>
      </w:r>
      <w:r>
        <w:t xml:space="preserve"> </w:t>
      </w:r>
      <w:r>
        <w:t xml:space="preserve">choice</w:t>
      </w:r>
      <w:r>
        <w:t xml:space="preserve"> </w:t>
      </w:r>
      <w:r>
        <w:t xml:space="preserve">and</w:t>
      </w:r>
      <w:r>
        <w:t xml:space="preserve"> </w:t>
      </w:r>
      <w:r>
        <w:t xml:space="preserve">referral</w:t>
      </w:r>
    </w:p>
    <w:p>
      <w:pPr>
        <w:pStyle w:val="Author"/>
      </w:pPr>
      <w:r>
        <w:t xml:space="preserve">Lin</w:t>
      </w:r>
      <w:r>
        <w:t xml:space="preserve"> </w:t>
      </w:r>
      <w:r>
        <w:t xml:space="preserve">Ding</w:t>
      </w:r>
      <w:r>
        <w:t xml:space="preserve"> </w:t>
      </w:r>
      <w:r>
        <w:t xml:space="preserve">Shan</w:t>
      </w:r>
      <w:r>
        <w:t xml:space="preserve"> </w:t>
      </w:r>
      <w:r>
        <w:t xml:space="preserve">(Independent</w:t>
      </w:r>
      <w:r>
        <w:t xml:space="preserve"> </w:t>
      </w:r>
      <w:r>
        <w:t xml:space="preserve">researcher,</w:t>
      </w:r>
      <w:r>
        <w:t xml:space="preserve"> </w:t>
      </w:r>
      <w:r>
        <w:t xml:space="preserve">Malaysia)</w:t>
      </w:r>
    </w:p>
    <w:p>
      <w:pPr>
        <w:pStyle w:val="FirstParagraph"/>
      </w:pPr>
      <w:r>
        <w:t xml:space="preserve">All tables and figures are generated by</w:t>
      </w:r>
      <w:r>
        <w:t xml:space="preserve"> </w:t>
      </w:r>
      <w:r>
        <w:rPr>
          <w:rStyle w:val="VerbatimChar"/>
        </w:rPr>
        <w:t xml:space="preserve">paper/make_supplement.py</w:t>
      </w:r>
      <w:r>
        <w:t xml:space="preserve"> </w:t>
      </w:r>
      <w:r>
        <w:t xml:space="preserve">from the released result files (</w:t>
      </w:r>
      <w:r>
        <w:rPr>
          <w:rStyle w:val="VerbatimChar"/>
        </w:rPr>
        <w:t xml:space="preserve">results/preds.csv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results/v2/results.csv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results/v3/*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results/numbers.json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paper/numbers.json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paper/numbers_v3.json</w:t>
      </w:r>
      <w:r>
        <w:t xml:space="preserve">). The single-channel spatial gate (SG) is labelled</w:t>
      </w:r>
      <w:r>
        <w:t xml:space="preserve"> </w:t>
      </w:r>
      <w:r>
        <w:rPr>
          <w:rStyle w:val="VerbatimChar"/>
        </w:rPr>
        <w:t xml:space="preserve">lfa</w:t>
      </w:r>
      <w:r>
        <w:t xml:space="preserve"> </w:t>
      </w:r>
      <w:r>
        <w:t xml:space="preserve">/ LFA in the code, the result files and Figs. S1–S2, and the leaf blight complex is labelled</w:t>
      </w:r>
      <w:r>
        <w:t xml:space="preserve"> </w:t>
      </w:r>
      <w:r>
        <w:rPr>
          <w:rStyle w:val="VerbatimChar"/>
        </w:rPr>
        <w:t xml:space="preserve">Leaf_rot</w:t>
      </w:r>
      <w:r>
        <w:t xml:space="preserve">.</w:t>
      </w:r>
    </w:p>
    <w:bookmarkStart w:id="20" w:name="X9c4e674dfd85235b4374dee56a700504718fcd6"/>
    <w:p>
      <w:pPr>
        <w:pStyle w:val="Heading2"/>
      </w:pPr>
      <w:r>
        <w:t xml:space="preserve">Table S1. Per-class precision, recall and F1 (%, mean ± SD over runs in which the class was present), all test images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72.9 ± 25.5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63.7 ± 18.4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65.3 ± 19.3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73.8 ± 25.9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61.1 ± 21.2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63.6 ± 21.0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72.8 ± 25.2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59.9 ± 20.6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62.5 ± 19.9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74.1 ± 24.1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60.7 ± 21.8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63.6 ± 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 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66.6 ± 15.4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78.9 ± 16.0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70.7 ± 12.3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66.9 ± 16.2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82.9 ± 15.1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71.8 ± 11.1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64.8 ± 17.9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79.3 ± 20.1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69.4 ± 15.5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66.0 ± 14.5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82.2 ± 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71.8 ± 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Phomopsis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77.2 ± 20.5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78.6 ± 19.0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74.2 ± 13.4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77.7 ± 20.2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76.7 ± 19.4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73.5 ± 13.9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78.3 ± 20.9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78.9 ± 18.8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74.9 ± 14.7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77.0 ± 21.0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78.1 ± 20.4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73.4 ± 14.9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91.0 ± 18.3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99.3 ± 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93.6 ± 14.2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92.3 ± 16.2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99.0 ± 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94.6 ± 11.6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91.2 ± 18.3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99.3 ± 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93.8 ± 14.2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91.5 ± 17.3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99.2 ±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94.0 ± 13.1</w:t>
            </w:r>
          </w:p>
        </w:tc>
      </w:tr>
    </w:tbl>
    <w:bookmarkEnd w:id="20"/>
    <w:bookmarkStart w:id="21" w:name="X5da2f3449080c8bee101665b2e3fbae9663d346"/>
    <w:p>
      <w:pPr>
        <w:pStyle w:val="Heading2"/>
      </w:pPr>
      <w:r>
        <w:t xml:space="preserve">Table S2. Accuracy (%, mean ± SD over 40 runs) and paired difference from the plain network over 20 folds (corrected resampled</w:t>
      </w:r>
      <w:r>
        <w:t xml:space="preserve"> </w:t>
      </w:r>
      <w:r>
        <w:rPr>
          <w:iCs/>
          <w:i/>
        </w:rPr>
        <w:t xml:space="preserve">t</w:t>
      </w:r>
      <w:r>
        <w:t xml:space="preserve">-test)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corrected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Folds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75.95 ± 9.33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75.47 ± 10.09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−0.49 [−4.67, 3.70]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74.75 ± 10.93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−1.20 [−8.79, 6.39]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0.744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75.78 ± 9.66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−0.17 [−4.82, 4.47]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10/20</w:t>
            </w:r>
          </w:p>
        </w:tc>
      </w:tr>
    </w:tbl>
    <w:bookmarkEnd w:id="21"/>
    <w:bookmarkStart w:id="22" w:name="Xa90d20032e1817a5ff31bd2248af5237ed6bbf2"/>
    <w:p>
      <w:pPr>
        <w:pStyle w:val="Heading2"/>
      </w:pPr>
      <w:r>
        <w:t xml:space="preserve">Table S3. Preliminary experiment: eight runs per configuration on one fixed five-class split (earlier code; training randomness not controlled by the seed, so replicates are unpaired)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Macro F1, mean ±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Difference from none (pp)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Welch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Mann–Whitney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77.55 ± 1.91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78.05 ± 2.61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0.671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76.63 ± 3.75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77.10 ± 2.86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0.833</w:t>
            </w:r>
          </w:p>
        </w:tc>
      </w:tr>
    </w:tbl>
    <w:bookmarkEnd w:id="22"/>
    <w:bookmarkStart w:id="23" w:name="X6a47629adba6cbed65a815abdf95a8d06ad1757"/>
    <w:p>
      <w:pPr>
        <w:pStyle w:val="Heading2"/>
      </w:pPr>
      <w:r>
        <w:t xml:space="preserve">Table S4. Macro F1 averaged over all four classes (an absent class scored as zero), as stored by the training notebooks and used in the pre-specified decision rule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Macro F1 (%), mean ±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Paired 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corrected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Meets rule (≥ 2 pp and CI &gt;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72.44 ± 13.05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72.32 ± 13.08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−0.12 [−4.54, 4.30]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71.63 ± 13.45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−0.82 [−7.63, 6.00]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72.18 ± 13.43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−0.27 [−5.11, 4.57]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</w:tr>
    </w:tbl>
    <w:bookmarkEnd w:id="23"/>
    <w:bookmarkStart w:id="24" w:name="X444fa1d9007283d6c674b265fe33ecc14f5d543"/>
    <w:p>
      <w:pPr>
        <w:pStyle w:val="Heading2"/>
      </w:pPr>
      <w:r>
        <w:t xml:space="preserve">Table S5. Training settings (identical for all configurations)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EfficientNet-B0, torchvision ImageNet weights (IMAGENET1K_V1)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Train: RandomResizedCrop(224, scale 0.7–1.0). Evaluation: Resize(256) on the short side, CenterCrop(224)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Horizontal flip p = 0.5; vertical flip p = 0.3; RandomAffine (rotation ±20°, translation 5 %, scale 0.95–1.05); ColorJitter (brightness 0.3, contrast 0.3, saturation 0.2, hue 0.05); GaussianBlur (kernel 3–7, σ 0.1–1.5); ImageNet normalisation; RandomErasing p = 0.3, 2–10 % of the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Classifier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Dropout p = 0.3, Linear(1280,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 epochs, backbone frozen (BatchNorm statistics still updating), Adam, lr 1e-3, attention module + head 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 epochs, all parameters trainable, Adam, lr 1e-5, starting from the best stage-1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Highest inner-validation macro F1 over both stages; inner validation ≈ 10 % of the training part, by whole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Loss and sampling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Cross-entropy with inverse-frequency class weights; WeightedRandomSampler with class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Mixed precision (torch.autocast with a gradient scaler)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 and 1 per fold; Python, NumPy, PyTorch, sampler and data-loader workers seeded; cuDNN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Google Colab GPU runtime; PyTorch and torchvision</w:t>
            </w:r>
          </w:p>
        </w:tc>
      </w:tr>
    </w:tbl>
    <w:bookmarkEnd w:id="24"/>
    <w:bookmarkStart w:id="25" w:name="X8e335bce665e654a09a21b14039c9383f4cb053"/>
    <w:p>
      <w:pPr>
        <w:pStyle w:val="Heading2"/>
      </w:pPr>
      <w:r>
        <w:t xml:space="preserve">Table S6. Paired comparisons of macro F1 with the plain network under three tests over the 20 folds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Mean difference (pp)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corrected resampled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uncorrected paired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Wilcoxon signed-rank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0.277</w:t>
            </w:r>
          </w:p>
        </w:tc>
      </w:tr>
    </w:tbl>
    <w:bookmarkEnd w:id="25"/>
    <w:bookmarkStart w:id="26" w:name="X2bda660777e190f69cc74e8052e16355899e507"/>
    <w:p>
      <w:pPr>
        <w:pStyle w:val="Heading2"/>
      </w:pPr>
      <w:r>
        <w:t xml:space="preserve">Table S7. Sensitivity to the grouping of video frames (Section 2.3 of the manuscript)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Test images scored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Mean test images per 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Macro F1 (%), mean ±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Paired 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test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75.06 ± 10.86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74.93 ± 10.95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−0.13 [−4.56, 4.31]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74.29 ± 11.80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−0.77 [−7.62, 6.08]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74.68 ± 10.78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−0.38 [−5.48, 4.73]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Video frames 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66.60 ± 12.04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66.46 ± 12.15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−0.13 [−4.55, 4.28]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65.34 ± 12.74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−1.26 [−10.28, 7.76]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0.773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66.37 ± 13.06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−0.23 [−5.83, 5.37]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Only images whose video-linked group was not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67.36 ± 12.17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66.54 ± 12.34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−0.83 [−6.09, 4.44]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0.746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64.54 ± 14.16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−2.83 [−11.70, 6.04]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66.19 ± 14.53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−1.17 [−7.96, 5.62]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0.722</w:t>
            </w:r>
          </w:p>
        </w:tc>
      </w:tr>
    </w:tbl>
    <w:p>
      <w:pPr>
        <w:pStyle w:val="BodyText"/>
      </w:pPr>
      <w:r>
        <w:t xml:space="preserve">Without the video frames the mean seed difference was 5.67 points, and the SG was at least 3 points ahead of the plain network in 20.0 % of seed-matched pairs and at least 3 points behind in 22.5 %.</w:t>
      </w:r>
    </w:p>
    <w:bookmarkEnd w:id="26"/>
    <w:bookmarkStart w:id="27" w:name="X006f3aad3d8c1ce93ff8bb76a5bc6841c4ac2de"/>
    <w:p>
      <w:pPr>
        <w:pStyle w:val="Heading2"/>
      </w:pPr>
      <w:r>
        <w:t xml:space="preserve">Table S8. Model size, computation and CPU latency for one 224 × 224 image (median and 90th percentile of 200 passes, Colab CPU)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Parameters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Added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GMACs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 thread, median (ms)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 thread, p90 (ms)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 threads, median (ms)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 threads, p90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4.0127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0.3845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22.46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4.0140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1,281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22.65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4.2175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204,800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0.3847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4.2176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204,898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0.3850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23.29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27.03</w:t>
            </w:r>
          </w:p>
        </w:tc>
      </w:tr>
    </w:tbl>
    <w:bookmarkEnd w:id="27"/>
    <w:bookmarkStart w:id="28" w:name="Xa8c5c2525bd93c4e0a7811bd789fe7ff3bdb589"/>
    <w:p>
      <w:pPr>
        <w:pStyle w:val="Heading2"/>
      </w:pPr>
      <w:r>
        <w:t xml:space="preserve">Table S9. Fold sizes and macro F1 per fold (%, mean of two seeds; † no root and collar rot image in the test fold)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58.34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62.51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49.82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50.38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49.08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50.39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56.47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59.59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80.39</w:t>
            </w:r>
          </w:p>
        </w:tc>
      </w:tr>
    </w:tbl>
    <w:bookmarkEnd w:id="28"/>
    <w:bookmarkStart w:id="35" w:name="figures-s1-and-s2"/>
    <w:p>
      <w:pPr>
        <w:pStyle w:val="Heading2"/>
      </w:pPr>
      <w:r>
        <w:t xml:space="preserve">Figures S1 and S2</w:t>
      </w:r>
    </w:p>
    <w:p>
      <w:pPr>
        <w:pStyle w:val="CaptionedFigure"/>
      </w:pPr>
      <w:r>
        <w:drawing>
          <wp:inline>
            <wp:extent cx="5334000" cy="2569664"/>
            <wp:effectExtent b="0" l="0" r="0" t="0"/>
            <wp:docPr descr="Confusion matrices of the plain network and the SG (labelled LFA), pooled over the 40 runs of each configuration and normalised by row (%), all test images." title="" id="30" name="Picture"/>
            <a:graphic>
              <a:graphicData uri="http://schemas.openxmlformats.org/drawingml/2006/picture">
                <pic:pic>
                  <pic:nvPicPr>
                    <pic:cNvPr descr="figures/fig5_confus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 of the plain network and the SG (labelled LFA), pooled over the 40 runs of each configuration and normalised by row (%), all test images.</w:t>
      </w:r>
    </w:p>
    <w:p>
      <w:pPr>
        <w:pStyle w:val="CaptionedFigure"/>
      </w:pPr>
      <w:r>
        <w:drawing>
          <wp:inline>
            <wp:extent cx="3733800" cy="2441330"/>
            <wp:effectExtent b="0" l="0" r="0" t="0"/>
            <wp:docPr descr="Macro F1 of each configuration on each of the 20 folds (grey lines, mean of two seeds) and the mean over folds (blue), all test images." title="" id="33" name="Picture"/>
            <a:graphic>
              <a:graphicData uri="http://schemas.openxmlformats.org/drawingml/2006/picture">
                <pic:pic>
                  <pic:nvPicPr>
                    <pic:cNvPr descr="figures/fig4_fold_sprea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 F1 of each configuration on each of the 20 folds (grey lines, mean of two seeds) and the mean over folds (blue), all test images.</w:t>
      </w:r>
    </w:p>
    <w:bookmarkEnd w:id="35"/>
    <w:bookmarkStart w:id="36" w:name="X8977717a6bc52423a83752ee4f638f5333c46de"/>
    <w:p>
      <w:pPr>
        <w:pStyle w:val="Heading2"/>
      </w:pPr>
      <w:r>
        <w:t xml:space="preserve">Table S10. Per-class precision, recall and F1 (%, mean ± SD over runs in which the class was present), video frames excluded (primary scoring)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73.1 ± 25.5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63.7 ± 18.4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65.4 ± 19.3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74.1 ± 26.0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61.1 ± 21.2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63.7 ± 21.1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73.1 ± 25.3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59.9 ± 20.6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62.5 ± 19.9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74.6 ± 24.4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60.7 ± 21.8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63.7 ± 21.1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 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67.5 ± 15.8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78.9 ± 16.0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71.1 ± 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68.0 ± 16.4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82.9 ± 15.1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72.5 ± 11.0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65.9 ± 18.5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79.3 ± 20.1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69.9 ± 15.5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66.7 ± 14.7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82.2 ± 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72.2 ± 9.9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Phomopsis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44.3 ± 44.2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29.4 ± 27.8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32.0 ± 31.6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44.4 ± 45.0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27.0 ± 27.3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30.9 ± 31.7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44.1 ± 44.0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31.0 ± 28.2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32.8 ± 32.3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44.2 ± 44.4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28.6 ± 28.2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31.4 ± 31.7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91.0 ± 18.3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99.3 ± 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93.6 ± 14.2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92.3 ± 16.2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99.0 ± 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94.6 ± 11.6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91.2 ± 18.3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99.3 ± 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93.8 ± 14.2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91.5 ± 17.3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99.2 ±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94.0 ± 13.1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</w:tbl>
    <w:bookmarkEnd w:id="36"/>
    <w:bookmarkStart w:id="37" w:name="X0c6f399bb222bc356c8b34349fa0e86b7fb05b1"/>
    <w:p>
      <w:pPr>
        <w:pStyle w:val="Heading2"/>
      </w:pPr>
      <w:r>
        <w:t xml:space="preserve">Table S11. Backbone comparison: macro F1 and accuracy (%, mean ± SD over 40 runs) and paired difference from EfficientNet-B0 over 20 folds</w:t>
      </w:r>
    </w:p>
    <w:p>
      <w:pPr>
        <w:pStyle w:val="FirstParagraph"/>
      </w:pPr>
      <w:r>
        <w:t xml:space="preserve">Corrected resampled</w:t>
      </w:r>
      <w:r>
        <w:t xml:space="preserve"> </w:t>
      </w:r>
      <w:r>
        <w:rPr>
          <w:iCs/>
          <w:i/>
        </w:rPr>
        <w:t xml:space="preserve">t</w:t>
      </w:r>
      <w:r>
        <w:t xml:space="preserve">-test (factor 0.383); Holm adjustment over the four comparisons;</w:t>
      </w:r>
      <w:r>
        <w:t xml:space="preserve"> </w:t>
      </w:r>
      <w:r>
        <w:t xml:space="preserve">“</w:t>
      </w:r>
      <w:r>
        <w:t xml:space="preserve">rule</w:t>
      </w:r>
      <w:r>
        <w:t xml:space="preserve">”</w:t>
      </w:r>
      <w:r>
        <w:t xml:space="preserve"> </w:t>
      </w:r>
      <w:r>
        <w:t xml:space="preserve">is the pre-specified criterion (difference of at least 2 pp and Holm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3"/>
        <w:gridCol w:w="1262"/>
        <w:gridCol w:w="803"/>
        <w:gridCol w:w="459"/>
        <w:gridCol w:w="1377"/>
        <w:gridCol w:w="459"/>
        <w:gridCol w:w="459"/>
        <w:gridCol w:w="516"/>
        <w:gridCol w:w="516"/>
        <w:gridCol w:w="401"/>
        <w:gridCol w:w="344"/>
        <w:gridCol w:w="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Macro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corrected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Holm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uncorrected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Wilcoxon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Folds higher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Rule 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Mean seed difference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video frames excluded (primary)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66.65 ± 12.20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5.61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64.39 ± 14.42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−2.26 [−9.47, 4.95]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0.0851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0.1327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5.94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58.30 ± 12.67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−8.36 [−16.38, −0.33]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7.42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74.81 ± 12.10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+8.16 [1.87, 14.45]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74.96 ± 12.20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+8.30 [−0.19, 16.80]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test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75.19 ± 11.20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5.15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73.68 ± 12.55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−1.52 [−8.23, 5.19]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0.2055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0.2305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5.49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68.50 ± 10.90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−6.69 [−14.34, 0.96]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6.69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84.10 ± 9.83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+8.91 [1.65, 16.17]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19/20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83.67 ± 8.69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+8.48 [0.18, 16.77]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&lt; 0.0001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19/20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4.94</w:t>
            </w:r>
          </w:p>
        </w:tc>
      </w:tr>
    </w:tbl>
    <w:p>
      <w:pPr>
        <w:pStyle w:val="BodyText"/>
      </w:pPr>
      <w:r>
        <w:t xml:space="preserve">ConvNeXt V2-Tiny minus ViT-S/16 (exploratory, video frames excluded): −0.15 pp [−5.65, 5.36], corrected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0.956.</w:t>
      </w:r>
    </w:p>
    <w:bookmarkEnd w:id="37"/>
    <w:bookmarkStart w:id="38" w:name="Xd5af98f2186cdca4af0d7ac79d3249359f8b37c"/>
    <w:p>
      <w:pPr>
        <w:pStyle w:val="Heading2"/>
      </w:pPr>
      <w:r>
        <w:t xml:space="preserve">Table S12. Per-class precision, recall and F1 (%, mean ± SD over runs in which the class was present), backbone experiment, video frames excluded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2238"/>
        <w:gridCol w:w="1205"/>
        <w:gridCol w:w="1205"/>
        <w:gridCol w:w="1205"/>
        <w:gridCol w:w="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73.4 ± 25.6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62.7 ± 20.4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64.4 ± 20.0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69.5 ± 24.3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61.2 ± 23.3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63.3 ± 23.0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64.5 ± 27.9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53.0 ± 21.9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54.6 ± 21.2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74.1 ± 25.5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85.4 ± 13.0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77.0 ± 20.8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76.3 ± 24.6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80.4 ± 16.3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76.1 ± 20.4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 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67.8 ± 14.6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80.3 ± 16.2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72.0 ± 12.2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67.1 ± 15.0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74.8 ± 17.0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68.8 ± 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58.5 ± 14.7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70.7 ± 22.0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61.2 ± 15.0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83.7 ± 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79.4 ± 14.9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80.7 ± 10.8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81.0 ± 14.6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78.3 ± 13.2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78.6 ± 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Phomopsis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45.0 ± 45.0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28.5 ± 26.9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31.9 ± 31.7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39.0 ± 41.0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28.2 ± 32.4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30.9 ± 33.8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46.4 ± 44.9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25.4 ± 25.9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30.6 ± 30.2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47.2 ± 46.7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33.6 ± 33.6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38.6 ± 38.0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44.3 ± 44.4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41.5 ± 39.6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41.4 ± 40.8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91.8 ± 17.6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99.7 ± 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94.4 ± 12.8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87.0 ± 22.4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98.8 ± 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90.3 ± 18.2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78.3 ± 25.1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95.2 ± 17.1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83.9 ± 22.4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99.8 ± 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97.0 ± 10.2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98.0 ± 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99.4 ±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100.0 ± 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99.7 ± 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</w:t>
            </w:r>
          </w:p>
        </w:tc>
      </w:tr>
    </w:tbl>
    <w:bookmarkEnd w:id="38"/>
    <w:bookmarkStart w:id="39" w:name="Xe7b61d692761bf0596c7aad19b9ea39fbd641eb"/>
    <w:p>
      <w:pPr>
        <w:pStyle w:val="Heading2"/>
      </w:pPr>
      <w:r>
        <w:t xml:space="preserve">Table S13. Recall (%) for</w:t>
      </w:r>
      <w:r>
        <w:t xml:space="preserve"> </w:t>
      </w:r>
      <w:r>
        <w:rPr>
          <w:iCs/>
          <w:i/>
        </w:rPr>
        <w:t xml:space="preserve">Phomopsis</w:t>
      </w:r>
      <w:r>
        <w:t xml:space="preserve"> </w:t>
      </w:r>
      <w:r>
        <w:t xml:space="preserve">leaf spot, still photographs against video frames, pooled over the 40 runs of each backbone (all test images)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Still photographs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Video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98.9</w:t>
            </w:r>
          </w:p>
        </w:tc>
      </w:tr>
    </w:tbl>
    <w:bookmarkEnd w:id="39"/>
    <w:bookmarkStart w:id="40" w:name="Xa39c8bc01f0d2dae387d1303d1997cd26068390"/>
    <w:p>
      <w:pPr>
        <w:pStyle w:val="Heading2"/>
      </w:pPr>
      <w:r>
        <w:t xml:space="preserve">Table S14. Referral to the grower: the threshold on the maximum softmax probability is chosen on the inner-validation images only (smallest threshold at which the accepted validation images reach the target accuracy; all images are referred if none does)</w:t>
      </w:r>
    </w:p>
    <w:p>
      <w:pPr>
        <w:pStyle w:val="FirstParagraph"/>
      </w:pPr>
      <w:r>
        <w:rPr>
          <w:iCs/>
          <w:i/>
        </w:rPr>
        <w:t xml:space="preserve">Coverage</w:t>
      </w:r>
      <w:r>
        <w:t xml:space="preserve">: share of test images decided by the model.</w:t>
      </w:r>
      <w:r>
        <w:t xml:space="preserve"> </w:t>
      </w:r>
      <w:r>
        <w:rPr>
          <w:iCs/>
          <w:i/>
        </w:rPr>
        <w:t xml:space="preserve">Accuracy decided</w:t>
      </w:r>
      <w:r>
        <w:t xml:space="preserve">: mean over runs with at least one decided image (pooled over images in brackets).</w:t>
      </w:r>
      <w:r>
        <w:t xml:space="preserve"> </w:t>
      </w:r>
      <w:r>
        <w:rPr>
          <w:iCs/>
          <w:i/>
        </w:rPr>
        <w:t xml:space="preserve">Accuracy, no referral</w:t>
      </w:r>
      <w:r>
        <w:t xml:space="preserve">: accuracy if every image were decided (pooled).</w:t>
      </w:r>
      <w:r>
        <w:t xml:space="preserve"> </w:t>
      </w:r>
      <w:r>
        <w:rPr>
          <w:iCs/>
          <w:i/>
        </w:rPr>
        <w:t xml:space="preserve">Below target</w:t>
      </w:r>
      <w:r>
        <w:t xml:space="preserve">: runs in which the accuracy on decided images was below the target.</w:t>
      </w:r>
      <w:r>
        <w:t xml:space="preserve"> </w:t>
      </w:r>
      <w:r>
        <w:rPr>
          <w:iCs/>
          <w:i/>
        </w:rPr>
        <w:t xml:space="preserve">All decided</w:t>
      </w:r>
      <w:r>
        <w:t xml:space="preserve">: runs in which every test image was decided. Referral shares are means over runs in which the class was present.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5"/>
        <w:gridCol w:w="423"/>
        <w:gridCol w:w="1330"/>
        <w:gridCol w:w="785"/>
        <w:gridCol w:w="1027"/>
        <w:gridCol w:w="604"/>
        <w:gridCol w:w="483"/>
        <w:gridCol w:w="483"/>
        <w:gridCol w:w="483"/>
        <w:gridCol w:w="483"/>
        <w:gridCol w:w="544"/>
        <w:gridCol w:w="4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Coverage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 decided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Accuracy, no referral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Below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decided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Referred: Algal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Referred: Leaf blight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Referred: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Phomopsis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Referred: Root 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video frames excluded (primary)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65.0 ± 33.5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83.3 ± 12.1 (79.0)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54.3 ± 34.4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84.4 ± 12.1 (78.6)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24/38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57.8 ± 30.8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79.4 ± 13.3 (73.6)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29/37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89.1 ± 18.9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86.4 ± 9.0 (83.6)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21/40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87.5 ± 17.8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86.1 ± 7.7 (84.6)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video frames excluded (primary)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52.5 ± 32.0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87.2 ± 11.0 (81.5)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39.8 ± 28.3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90.4 ± 11.0 (85.2)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19/37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44.9 ± 27.4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84.0 ± 13.1 (77.1)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27/37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83.2 ± 23.9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88.4 ± 8.5 (85.6)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75.9 ± 25.7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89.6 ± 7.3 (86.7)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test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72.6 ± 27.8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84.0 ± 10.9 (80.9)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61.1 ± 33.3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85.6 ± 11.2 (80.3)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23/39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37.7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67.0 ± 28.0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81.1 ± 11.7 (76.2)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28/38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90.8 ± 16.4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88.0 ± 8.1 (85.2)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92.4 ± 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87.0 ± 7.2 (85.5)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test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60.8 ± 30.2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87.6 ± 10.5 (82.8)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49.0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47.5 ± 30.3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89.7 ± 10.7 (85.3)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17.9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56.7 ± 26.9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84.7 ± 12.3 (78.6)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26/38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86.1 ± 21.6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89.5 ± 7.5 (86.8)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31/40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82.3 ± 21.9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89.8 ± 6.8 (87.6)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33/40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</w:t>
            </w:r>
          </w:p>
        </w:tc>
      </w:tr>
    </w:tbl>
    <w:bookmarkEnd w:id="40"/>
    <w:bookmarkStart w:id="41" w:name="X8b99fd4f430ea8e19427598937b0423c0bb23ef"/>
    <w:p>
      <w:pPr>
        <w:pStyle w:val="Heading2"/>
      </w:pPr>
      <w:r>
        <w:t xml:space="preserve">Table S15. Threshold-free confidence ranking: accuracy on the most confident images at fixed coverage, area under the risk–coverage curve (AURC, lower is better) and top-2 accuracy (%, mean over 40 runs; video frames excluded)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5"/>
        <w:gridCol w:w="907"/>
        <w:gridCol w:w="907"/>
        <w:gridCol w:w="907"/>
        <w:gridCol w:w="907"/>
        <w:gridCol w:w="1237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50 %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70 %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80 %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100 % (accuracy)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AURC (mean ± 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Top-2 accuracy (mean ± 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13.27 ± 8.91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93.48 ± 5.09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13.80 ± 9.20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92.83 ± 5.83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17.80 ± 9.77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91.60 ± 5.86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6.47 ± 6.80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96.90 ± 2.59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6.32 ± 5.82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96.13 ± 2.33</w:t>
            </w:r>
          </w:p>
        </w:tc>
      </w:tr>
    </w:tbl>
    <w:p>
      <w:pPr>
        <w:pStyle w:val="BodyText"/>
      </w:pPr>
      <w:r>
        <w:t xml:space="preserve">Exploratory paired comparisons with EfficientNet-B0 over 20 folds (corrected resampled</w:t>
      </w:r>
      <w:r>
        <w:t xml:space="preserve"> </w:t>
      </w:r>
      <w:r>
        <w:rPr>
          <w:iCs/>
          <w:i/>
        </w:rPr>
        <w:t xml:space="preserve">t</w:t>
      </w:r>
      <w:r>
        <w:t xml:space="preserve">-test, Holm over four comparisons; no test of these quantities was pre-specified):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3"/>
        <w:gridCol w:w="1721"/>
        <w:gridCol w:w="602"/>
        <w:gridCol w:w="688"/>
        <w:gridCol w:w="1721"/>
        <w:gridCol w:w="602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AURC difference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Holm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Top-2 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Holm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+0.53 [−6.67, 7.73]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−0.65 [−3.65, 2.35]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+4.53 [−2.62, 11.68]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−1.88 [−6.12, 2.35]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−6.80 [−12.54, −1.07]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+3.42 [−1.61, 8.45]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−6.95 [−12.67, −1.24]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+2.64 [−2.25, 7.54]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0.815</w:t>
            </w:r>
          </w:p>
        </w:tc>
      </w:tr>
    </w:tbl>
    <w:bookmarkEnd w:id="41"/>
    <w:bookmarkStart w:id="42" w:name="X2a77a5f1245177a4e936693c25309c6c9096a4a"/>
    <w:p>
      <w:pPr>
        <w:pStyle w:val="Heading2"/>
      </w:pPr>
      <w:r>
        <w:t xml:space="preserve">Table S16. Rerun agreement, model size and CPU latency</w:t>
      </w:r>
    </w:p>
    <w:p>
      <w:pPr>
        <w:pStyle w:val="FirstParagraph"/>
      </w:pPr>
      <w:r>
        <w:t xml:space="preserve">EfficientNet-B0 was retrained in the backbone experiment (same folds, seeds and schedule;</w:t>
      </w:r>
      <w:r>
        <w:t xml:space="preserve"> </w:t>
      </w:r>
      <w:r>
        <w:rPr>
          <w:rStyle w:val="VerbatimChar"/>
        </w:rPr>
        <w:t xml:space="preserve">drop_last</w:t>
      </w:r>
      <w:r>
        <w:t xml:space="preserve"> </w:t>
      </w:r>
      <w:r>
        <w:t xml:space="preserve">in the training loader, as required by MobileNetV4). Its mean macro F1 was 66.65 % (video frames excluded) against 66.60 % in the first experiment; the mean absolute difference between matching runs was 3.02 points (correlation 0.93). On all test images the values were 75.19 % and 75.06 % (mean absolute difference 2.63 points).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8"/>
        <w:gridCol w:w="1159"/>
        <w:gridCol w:w="1931"/>
        <w:gridCol w:w="965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Parameters 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CPU latency, 1 thread, median (ms)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p90 (ms)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Mean training time per run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36.71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50.15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4.207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32.63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8.440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43.25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27.870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163.44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219.13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21.667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100.82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113.68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2.63</w:t>
            </w:r>
          </w:p>
        </w:tc>
      </w:tr>
    </w:tbl>
    <w:bookmarkEnd w:id="42"/>
    <w:bookmarkStart w:id="43" w:name="X14ae777eec167e91fe92afdb9c2995f50af96aa"/>
    <w:p>
      <w:pPr>
        <w:pStyle w:val="Heading2"/>
      </w:pPr>
      <w:r>
        <w:t xml:space="preserve">Table S17. Sensitivity to the grouping of video frames: backbone comparison on test images whose video-linked group was not split</w:t>
      </w:r>
    </w:p>
    <w:p>
      <w:pPr>
        <w:pStyle w:val="FirstParagraph"/>
      </w:pPr>
      <w:r>
        <w:t xml:space="preserve">Mean test images per fold: 87.0. Corrected resampled</w:t>
      </w:r>
      <w:r>
        <w:t xml:space="preserve"> </w:t>
      </w:r>
      <w:r>
        <w:rPr>
          <w:iCs/>
          <w:i/>
        </w:rPr>
        <w:t xml:space="preserve">t</w:t>
      </w:r>
      <w:r>
        <w:t xml:space="preserve">-test over 20 folds; Holm adjustment over the four comparisons.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8"/>
        <w:gridCol w:w="1397"/>
        <w:gridCol w:w="2174"/>
        <w:gridCol w:w="776"/>
        <w:gridCol w:w="776"/>
        <w:gridCol w:w="7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Macro F1 (%), mean ±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Difference from EfficientNet-B0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corrected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6"/>
              </w:rPr>
              <w:t xml:space="preserve">p</w:t>
            </w:r>
            <w:r>
              <w:rPr>
                <w:sz w:val="16"/>
              </w:rPr>
              <w:t xml:space="preserve">, Holm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Folds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67.00 ± 13.29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63.25 ± 12.51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−3.74 [−13.10, 5.61]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56.87 ± 14.10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−10.13 [−21.07, 0.81]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74.04 ± 13.94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+7.04 [0.68, 13.40]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73.82 ± 14.15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+6.82 [0.01, 13.64]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18/20</w:t>
            </w:r>
          </w:p>
        </w:tc>
      </w:tr>
    </w:tbl>
    <w:bookmarkEnd w:id="43"/>
    <w:bookmarkStart w:id="44" w:name="Xbe856c91488c69b0b010c83637530e1baf69bdf"/>
    <w:p>
      <w:pPr>
        <w:pStyle w:val="Heading2"/>
      </w:pPr>
      <w:r>
        <w:t xml:space="preserve">Table S18. Optimism of the inner-validation images used for the referral threshold (video frames excluded)</w:t>
      </w:r>
    </w:p>
    <w:p>
      <w:pPr>
        <w:pStyle w:val="FirstParagraph"/>
      </w:pPr>
      <w:r>
        <w:t xml:space="preserve">Mean accuracy without any referral on the validation images and on the test folds (means of per-run values), and the number of runs (of 40) in which the validation accuracy was already at or above the target.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8"/>
        <w:gridCol w:w="1377"/>
        <w:gridCol w:w="1205"/>
        <w:gridCol w:w="1549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Validation accuracy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Test accuracy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Runs with validation accuracy ≥ 90 %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Runs with validation accuracy ≥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</w:t>
            </w:r>
          </w:p>
        </w:tc>
      </w:tr>
    </w:tbl>
    <w:bookmarkEnd w:id="44"/>
    <w:bookmarkStart w:id="45" w:name="Xd36d6ae493914c41abb4569358dbf10ed176bc5"/>
    <w:p>
      <w:pPr>
        <w:pStyle w:val="Heading2"/>
      </w:pPr>
      <w:r>
        <w:t xml:space="preserve">Table S19. Absolute and referral results on the strict subset (test and validation images whose video-linked group lies entirely inside the evaluated subset)</w:t>
      </w:r>
    </w:p>
    <w:p>
      <w:pPr>
        <w:pStyle w:val="FirstParagraph"/>
      </w:pPr>
      <w:r>
        <w:t xml:space="preserve">Mean test images per run 87.0 (primary scoring: 121.8); mean validation images per run 34.2 (primary scoring: 34.8). This subset contains 1.4 %</w:t>
      </w:r>
      <w:r>
        <w:t xml:space="preserve"> </w:t>
      </w:r>
      <w:r>
        <w:rPr>
          <w:iCs/>
          <w:i/>
        </w:rPr>
        <w:t xml:space="preserve">Phomopsis</w:t>
      </w:r>
      <w:r>
        <w:t xml:space="preserve"> </w:t>
      </w:r>
      <w:r>
        <w:t xml:space="preserve">images against 19.3 % in the primary scoring, so it is cleaner but easier and is not a corrected estimate. Means over 40 runs; decided = images whose confidence reached the threshold chosen on the validation images.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7"/>
        <w:gridCol w:w="550"/>
        <w:gridCol w:w="550"/>
        <w:gridCol w:w="413"/>
        <w:gridCol w:w="482"/>
        <w:gridCol w:w="688"/>
        <w:gridCol w:w="688"/>
        <w:gridCol w:w="688"/>
        <w:gridCol w:w="550"/>
        <w:gridCol w:w="688"/>
        <w:gridCol w:w="688"/>
        <w:gridCol w:w="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Macro F1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Top-2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 at 70 % coverage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Decided, 90 % target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 on decided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Runs below 90 %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Decided, 95 % target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Accuracy on decided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Runs below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20/39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28/39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12.63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24/38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19/37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56.9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79.9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29/38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28/38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14/40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28/40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18/40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24/40</w:t>
            </w:r>
          </w:p>
        </w:tc>
      </w:tr>
    </w:tbl>
    <w:bookmarkEnd w:id="45"/>
    <w:bookmarkStart w:id="46" w:name="X7aa602aa6bf726bd5e80fc20d2c2a01bde6b1b4"/>
    <w:p>
      <w:pPr>
        <w:pStyle w:val="Heading2"/>
      </w:pPr>
      <w:r>
        <w:t xml:space="preserve">Table S20. Top-2 hit rate and errors among automatically decided images, by true class (primary scoring, video frames excluded)</w:t>
      </w:r>
    </w:p>
    <w:p>
      <w:pPr>
        <w:pStyle w:val="FirstParagraph"/>
      </w:pPr>
      <w:r>
        <w:t xml:space="preserve">Pooled over the 40 runs of each backbone (images, not run means). Top-2: the correct class was among the two most probable. Decided: confidence reached the threshold set on the validation images for a 90 % target. Error among decided: share of decided images of that class that were misclassified.</w:t>
      </w:r>
      <w:r>
        <w:t xml:space="preserve"> </w:t>
      </w:r>
      <w:r>
        <w:rPr>
          <w:iCs/>
          <w:i/>
        </w:rPr>
        <w:t xml:space="preserve">Phomopsis</w:t>
      </w:r>
      <w:r>
        <w:t xml:space="preserve"> </w:t>
      </w:r>
      <w:r>
        <w:t xml:space="preserve">images come essentially from one capture group.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7"/>
        <w:gridCol w:w="1777"/>
        <w:gridCol w:w="808"/>
        <w:gridCol w:w="808"/>
        <w:gridCol w:w="808"/>
        <w:gridCol w:w="8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Test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Recall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Top-2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Decided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Error among decided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Phomopsis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EfficientNet-B0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Phomopsis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MobileNetV3-Large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Phomopsis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MobileNetV4-Conv-Medium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Phomopsis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ConvNeXt V2-Tiny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1620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blight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1530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Phomopsis leaf spot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ViT-S/16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99.9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</w:t>
            </w:r>
          </w:p>
        </w:tc>
      </w:tr>
    </w:tbl>
    <w:bookmarkEnd w:id="46"/>
    <w:sectPr>
      <w:pgSz w:orient="landscape" w:w="16838" w:h="11906"/>
      <w:pgMar w:left="907" w:right="907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6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image" Target="media/rId32.png"/><Relationship Id="rId29" Type="http://schemas.openxmlformats.org/officeDocument/2006/relationships/image" Target="media/rId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Lin Ding Shan (Independent researcher, Malaysia)</dc:creator>
  <cp:keywords/>
  <dcterms:created xsi:type="dcterms:W3CDTF">2026-10-19T13:27:50Z</dcterms:created>
  <dcterms:modified xsi:type="dcterms:W3CDTF">2026-10-19T13:27:50Z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subtitle">
    <vt:lpwstr>Decision support for durian (Durio zibethinus) disease diagnosis from field photographs: what grouped validation shows about backbone choice and referral</vt:lpwstr>
  </property>
</Properties>
</file>