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reliable</w:t>
      </w:r>
      <w:r>
        <w:t xml:space="preserve"> </w:t>
      </w:r>
      <w:r>
        <w:t xml:space="preserve">is</w:t>
      </w:r>
      <w:r>
        <w:t xml:space="preserve"> </w:t>
      </w:r>
      <w:r>
        <w:t xml:space="preserve">image-based</w:t>
      </w:r>
      <w:r>
        <w:t xml:space="preserve"> </w:t>
      </w:r>
      <w:r>
        <w:t xml:space="preserve">diagnosis</w:t>
      </w:r>
      <w:r>
        <w:t xml:space="preserve"> </w:t>
      </w:r>
      <w:r>
        <w:t xml:space="preserve">of</w:t>
      </w:r>
      <w:r>
        <w:t xml:space="preserve"> </w:t>
      </w:r>
      <w:r>
        <w:t xml:space="preserve">durian</w:t>
      </w:r>
      <w:r>
        <w:t xml:space="preserve"> </w:t>
      </w:r>
      <w:r>
        <w:t xml:space="preserve">(Durio</w:t>
      </w:r>
      <w:r>
        <w:t xml:space="preserve"> </w:t>
      </w:r>
      <w:r>
        <w:t xml:space="preserve">zibethinus)</w:t>
      </w:r>
      <w:r>
        <w:t xml:space="preserve"> </w:t>
      </w:r>
      <w:r>
        <w:t xml:space="preserve">diseases</w:t>
      </w:r>
      <w:r>
        <w:t xml:space="preserve"> </w:t>
      </w:r>
      <w:r>
        <w:t xml:space="preserve">from</w:t>
      </w:r>
      <w:r>
        <w:t xml:space="preserve"> </w:t>
      </w:r>
      <w:r>
        <w:t xml:space="preserve">field</w:t>
      </w:r>
      <w:r>
        <w:t xml:space="preserve"> </w:t>
      </w:r>
      <w:r>
        <w:t xml:space="preserve">photographs?</w:t>
      </w:r>
      <w:r>
        <w:t xml:space="preserve"> </w:t>
      </w:r>
      <w:r>
        <w:t xml:space="preserve">Grouped</w:t>
      </w:r>
      <w:r>
        <w:t xml:space="preserve"> </w:t>
      </w:r>
      <w:r>
        <w:t xml:space="preserve">cross-validation,</w:t>
      </w:r>
      <w:r>
        <w:t xml:space="preserve"> </w:t>
      </w:r>
      <w:r>
        <w:t xml:space="preserve">run-to-run</w:t>
      </w:r>
      <w:r>
        <w:t xml:space="preserve"> </w:t>
      </w:r>
      <w:r>
        <w:t xml:space="preserve">variation</w:t>
      </w:r>
      <w:r>
        <w:t xml:space="preserve"> </w:t>
      </w:r>
      <w:r>
        <w:t xml:space="preserve">and</w:t>
      </w:r>
      <w:r>
        <w:t xml:space="preserve"> </w:t>
      </w:r>
      <w:r>
        <w:t xml:space="preserve">transfer</w:t>
      </w:r>
      <w:r>
        <w:t xml:space="preserve"> </w:t>
      </w:r>
      <w:r>
        <w:t xml:space="preserve">to</w:t>
      </w:r>
      <w:r>
        <w:t xml:space="preserve"> </w:t>
      </w:r>
      <w:r>
        <w:t xml:space="preserve">another</w:t>
      </w:r>
      <w:r>
        <w:t xml:space="preserve"> </w:t>
      </w:r>
      <w:r>
        <w:t xml:space="preserve">country</w:t>
      </w:r>
    </w:p>
    <w:p>
      <w:pPr>
        <w:pStyle w:val="Author"/>
      </w:pPr>
      <w:r>
        <w:t xml:space="preserve">Lin</w:t>
      </w:r>
      <w:r>
        <w:t xml:space="preserve"> </w:t>
      </w:r>
      <w:r>
        <w:t xml:space="preserve">Ding</w:t>
      </w:r>
      <w:r>
        <w:t xml:space="preserve"> </w:t>
      </w:r>
      <w:r>
        <w:t xml:space="preserve">Shan</w:t>
      </w:r>
      <w:r>
        <w:t xml:space="preserve"> </w:t>
      </w:r>
      <w:r>
        <w:t xml:space="preserve">(Independent</w:t>
      </w:r>
      <w:r>
        <w:t xml:space="preserve"> </w:t>
      </w:r>
      <w:r>
        <w:t xml:space="preserve">researcher,</w:t>
      </w:r>
      <w:r>
        <w:t xml:space="preserve"> </w:t>
      </w:r>
      <w:r>
        <w:t xml:space="preserve">Malaysia)</w:t>
      </w:r>
    </w:p>
    <w:p>
      <w:pPr>
        <w:pStyle w:val="FirstParagraph"/>
      </w:pPr>
      <w:r>
        <w:t xml:space="preserve">All tables and figures are generated by</w:t>
      </w:r>
      <w:r>
        <w:t xml:space="preserve"> </w:t>
      </w:r>
      <w:r>
        <w:rPr>
          <w:rStyle w:val="VerbatimChar"/>
        </w:rPr>
        <w:t xml:space="preserve">paper/make_supplement.py</w:t>
      </w:r>
      <w:r>
        <w:t xml:space="preserve"> </w:t>
      </w:r>
      <w:r>
        <w:t xml:space="preserve">from the released result files (</w:t>
      </w:r>
      <w:r>
        <w:rPr>
          <w:rStyle w:val="VerbatimChar"/>
        </w:rPr>
        <w:t xml:space="preserve">results/preds.csv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results/v2/results.csv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results/numbers.json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paper/numbers.json</w:t>
      </w:r>
      <w:r>
        <w:t xml:space="preserve">). The single-channel spatial gate (SG) is labelled</w:t>
      </w:r>
      <w:r>
        <w:t xml:space="preserve"> </w:t>
      </w:r>
      <w:r>
        <w:rPr>
          <w:rStyle w:val="VerbatimChar"/>
        </w:rPr>
        <w:t xml:space="preserve">lfa</w:t>
      </w:r>
      <w:r>
        <w:t xml:space="preserve"> </w:t>
      </w:r>
      <w:r>
        <w:t xml:space="preserve">/ LFA in the code, the result files and Figs. S1–S2, and the leaf blight complex is labelled</w:t>
      </w:r>
      <w:r>
        <w:t xml:space="preserve"> </w:t>
      </w:r>
      <w:r>
        <w:rPr>
          <w:rStyle w:val="VerbatimChar"/>
        </w:rPr>
        <w:t xml:space="preserve">Leaf_rot</w:t>
      </w:r>
      <w:r>
        <w:t xml:space="preserve">.</w:t>
      </w:r>
    </w:p>
    <w:bookmarkStart w:id="20" w:name="X9c4e674dfd85235b4374dee56a700504718fcd6"/>
    <w:p>
      <w:pPr>
        <w:pStyle w:val="Heading2"/>
      </w:pPr>
      <w:r>
        <w:t xml:space="preserve">Table S1. Per-class precision, recall and F1 (%, mean ± SD over runs in which the class was present), all test images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72.9 ± 25.5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 ± 19.3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73.8 ± 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 ± 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 ± 21.0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± 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 ± 20.6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 ± 19.9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 ± 24.1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 ± 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 ± 21.1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 blight 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 ± 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 ± 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70.7 ± 12.3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66.9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 ± 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 ± 11.1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 ± 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 ± 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69.4 ± 15.5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66.0 ± 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± 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 ± 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Phomopsis</w:t>
            </w:r>
            <w:r>
              <w:t xml:space="preserve"> </w:t>
            </w:r>
            <w:r>
              <w:t xml:space="preserve">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 ± 20.5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78.6 ± 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74.2 ± 13.4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 ± 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76.7 ± 19.4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73.5 ± 13.9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78.3 ± 20.9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 ± 18.8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 ± 14.7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 ± 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 ± 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73.4 ± 14.9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91.0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93.6 ± 14.2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92.3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 ±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94.6 ± 11.6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93.8 ± 14.2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 ± 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±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 ± 13.1</w:t>
            </w:r>
          </w:p>
        </w:tc>
      </w:tr>
    </w:tbl>
    <w:bookmarkEnd w:id="20"/>
    <w:bookmarkStart w:id="21" w:name="X5da2f3449080c8bee101665b2e3fbae9663d346"/>
    <w:p>
      <w:pPr>
        <w:pStyle w:val="Heading2"/>
      </w:pPr>
      <w:r>
        <w:t xml:space="preserve">Table S2. Accuracy (%, mean ± SD over 40 runs) and paired difference from the plain network over 20 folds (corrected resampled</w:t>
      </w:r>
      <w:r>
        <w:t xml:space="preserve"> </w:t>
      </w:r>
      <w:r>
        <w:rPr>
          <w:iCs/>
          <w:i/>
        </w:rPr>
        <w:t xml:space="preserve">t</w:t>
      </w:r>
      <w:r>
        <w:t xml:space="preserve">-test)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Folds 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75.95 ± 9.33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75.47 ± 10.09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−0.49 [−4.67, 3.70]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 ± 10.93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−1.20 [−8.79, 6.39]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75.78 ± 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−0.17 [−4.82, 4.47]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</w:t>
            </w:r>
          </w:p>
        </w:tc>
      </w:tr>
    </w:tbl>
    <w:bookmarkEnd w:id="21"/>
    <w:bookmarkStart w:id="22" w:name="Xa90d20032e1817a5ff31bd2248af5237ed6bbf2"/>
    <w:p>
      <w:pPr>
        <w:pStyle w:val="Heading2"/>
      </w:pPr>
      <w:r>
        <w:t xml:space="preserve">Table S3. Preliminary experiment: eight runs per configuration on one fixed five-class split (earlier code; training randomness not controlled by the seed, so replicates are unpaired)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from none (pp)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Welch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Mann–Whitney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77.55 ± 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78.05 ± 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76.63 ± 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77.10 ± 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bookmarkEnd w:id="22"/>
    <w:bookmarkStart w:id="23" w:name="X6a47629adba6cbed65a815abdf95a8d06ad1757"/>
    <w:p>
      <w:pPr>
        <w:pStyle w:val="Heading2"/>
      </w:pPr>
      <w:r>
        <w:t xml:space="preserve">Table S4. Macro F1 averaged over all four classes (an absent class scored as zero), as stored by the training notebooks and used in the pre-specified decision rule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(%),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Meets rule (≥ 2 pp and CI &gt;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72.44 ± 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72.32 ± 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 [−4.54, 4.30]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71.63 ± 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−0.82 [−7.63, 6.00]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72.18 ± 13.43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−0.27 [−5.11, 4.57]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23"/>
    <w:bookmarkStart w:id="24" w:name="X444fa1d9007283d6c674b265fe33ecc14f5d543"/>
    <w:p>
      <w:pPr>
        <w:pStyle w:val="Heading2"/>
      </w:pPr>
      <w:r>
        <w:t xml:space="preserve">Table S5. Training settings (identical for all configurations)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EfficientNet-B0, torchvision ImageNet weights (IMAGENET1K_V1)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Train: RandomResizedCrop(224, scale 0.7–1.0). Evaluation: Resize(256) on the short side, CenterCrop(224)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flip p = 0.5; vertical flip p = 0.3; RandomAffine (rotation ±20°, translation 5 %, scale 0.95–1.05); ColorJitter (brightness 0.3, contrast 0.3, saturation 0.2, hue 0.05); GaussianBlur (kernel 3–7, σ 0.1–1.5); ImageNet normalisation; RandomErasing p = 0.3, 2–10 % of the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Classifier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Dropout p = 0.3, Linear(1280,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epochs, backbone frozen (BatchNorm statistics still updating), Adam, lr 1e-3, attention module + head trained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epochs, all parameters trainable, Adam, lr 1e-5, starting from the best stage-1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inner-validation macro F1 over both stages; inner validation ≈ 10 % of the training part, by whole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and 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 with inverse-frequency class weights; WeightedRandomSampler with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precision (torch.autocast with a gradient scaler)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and 1 per fold; Python, NumPy, PyTorch, sampler and data-loader workers seeded; cuDNN 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Colab GPU runtime; PyTorch and torchvision</w:t>
            </w:r>
          </w:p>
        </w:tc>
      </w:tr>
    </w:tbl>
    <w:bookmarkEnd w:id="24"/>
    <w:bookmarkStart w:id="25" w:name="X8e335bce665e654a09a21b14039c9383f4cb053"/>
    <w:p>
      <w:pPr>
        <w:pStyle w:val="Heading2"/>
      </w:pPr>
      <w:r>
        <w:t xml:space="preserve">Table S6. Paired comparisons of macro F1 with the plain network under three tests over the 20 folds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difference (pp)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 resampled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uncorrected paired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Wilcoxon signed-rank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0.277</w:t>
            </w:r>
          </w:p>
        </w:tc>
      </w:tr>
    </w:tbl>
    <w:bookmarkEnd w:id="25"/>
    <w:bookmarkStart w:id="26" w:name="X2bda660777e190f69cc74e8052e16355899e507"/>
    <w:p>
      <w:pPr>
        <w:pStyle w:val="Heading2"/>
      </w:pPr>
      <w:r>
        <w:t xml:space="preserve">Table S7. Sensitivity to the grouping of video frames (Section 2.3 of the manuscript)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images scored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test images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(%),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75.06 ± 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74.93 ± 10.95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 [−4.56, 4.31]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74.29 ± 11.80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−0.77 [−7.62, 6.08]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74.68 ± 10.78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−0.38 [−5.48, 4.73]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frames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66.60 ± 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66.46 ± 12.15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 [−4.55, 4.28]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65.34 ± 12.74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−1.26 [−10.28, 7.76]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66.37 ± 13.06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−0.23 [−5.83, 5.37]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Only images whose video-linked group was not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67.36 ± 12.17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66.54 ± 12.34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−0.83 [−6.09, 4.44]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64.54 ± 14.16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−2.83 [−11.70, 6.04]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66.19 ± 14.53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−1.17 [−7.96, 5.62]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</w:t>
            </w:r>
          </w:p>
        </w:tc>
      </w:tr>
    </w:tbl>
    <w:p>
      <w:pPr>
        <w:pStyle w:val="BodyText"/>
      </w:pPr>
      <w:r>
        <w:t xml:space="preserve">Without the video frames the mean seed difference was 5.67 points, and the SG was at least 3 points ahead of the plain network in 20.0 % of seed-matched pairs and at least 3 points behind in 22.5 %.</w:t>
      </w:r>
    </w:p>
    <w:bookmarkEnd w:id="26"/>
    <w:bookmarkStart w:id="27" w:name="X006f3aad3d8c1ce93ff8bb76a5bc6841c4ac2de"/>
    <w:p>
      <w:pPr>
        <w:pStyle w:val="Heading2"/>
      </w:pPr>
      <w:r>
        <w:t xml:space="preserve">Table S8. Model size, computation and CPU latency for one 224 × 224 image (median and 90th percentile of 200 passes, Colab CPU)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thread, median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thread, p90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threads, median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threads, p90 (ms)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</w:t>
            </w:r>
          </w:p>
        </w:tc>
      </w:tr>
    </w:tbl>
    <w:bookmarkEnd w:id="27"/>
    <w:bookmarkStart w:id="28" w:name="Xa8c5c2525bd93c4e0a7811bd789fe7ff3bdb589"/>
    <w:p>
      <w:pPr>
        <w:pStyle w:val="Heading2"/>
      </w:pPr>
      <w:r>
        <w:t xml:space="preserve">Table S9. Fold sizes and macro F1 per fold (%, mean of two seeds; † no root and collar rot image in the test fold)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80.39</w:t>
            </w:r>
          </w:p>
        </w:tc>
      </w:tr>
    </w:tbl>
    <w:bookmarkEnd w:id="28"/>
    <w:bookmarkStart w:id="35" w:name="figures-s1-and-s2"/>
    <w:p>
      <w:pPr>
        <w:pStyle w:val="Heading2"/>
      </w:pPr>
      <w:r>
        <w:t xml:space="preserve">Figures S1 and S2</w:t>
      </w:r>
    </w:p>
    <w:p>
      <w:pPr>
        <w:pStyle w:val="CaptionedFigure"/>
      </w:pPr>
      <w:r>
        <w:drawing>
          <wp:inline>
            <wp:extent cx="5334000" cy="2569664"/>
            <wp:effectExtent b="0" l="0" r="0" t="0"/>
            <wp:docPr descr="Confusion matrices of the plain network and the SG (labelled LFA), pooled over the 40 runs of each configuration and normalised by row (%), all test images." title="" id="30" name="Picture"/>
            <a:graphic>
              <a:graphicData uri="http://schemas.openxmlformats.org/drawingml/2006/picture">
                <pic:pic>
                  <pic:nvPicPr>
                    <pic:cNvPr descr="figures/fig5_confus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matrices of the plain network and the SG (labelled LFA), pooled over the 40 runs of each configuration and normalised by row (%), all test images.</w:t>
      </w:r>
    </w:p>
    <w:p>
      <w:pPr>
        <w:pStyle w:val="CaptionedFigure"/>
      </w:pPr>
      <w:r>
        <w:drawing>
          <wp:inline>
            <wp:extent cx="3733800" cy="2441330"/>
            <wp:effectExtent b="0" l="0" r="0" t="0"/>
            <wp:docPr descr="Macro F1 of each configuration on each of the 20 folds (grey lines, mean of two seeds) and the mean over folds (blue), all test images." title="" id="33" name="Picture"/>
            <a:graphic>
              <a:graphicData uri="http://schemas.openxmlformats.org/drawingml/2006/picture">
                <pic:pic>
                  <pic:nvPicPr>
                    <pic:cNvPr descr="figures/fig4_fold_sprea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41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Macro F1 of each configuration on each of the 20 folds (grey lines, mean of two seeds) and the mean over folds (blue), all test images.</w:t>
      </w:r>
    </w:p>
    <w:bookmarkEnd w:id="35"/>
    <w:bookmarkStart w:id="36" w:name="X8977717a6bc52423a83752ee4f638f5333c46de"/>
    <w:p>
      <w:pPr>
        <w:pStyle w:val="Heading2"/>
      </w:pPr>
      <w:r>
        <w:t xml:space="preserve">Table S10. Per-class precision, recall and F1 (%, mean ± SD over runs in which the class was present), video frames excluded (primary scoring)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73.1 ± 25.5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65.4 ± 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 ± 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 ± 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73.1 ± 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 ± 20.6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 ± 19.9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74.6 ± 24.4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 ± 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 blight 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67.5 ± 15.8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 ± 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 ± 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 ± 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 ± 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72.5 ± 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65.9 ± 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 ± 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69.9 ± 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 ± 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± 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 ± 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Phomopsis</w:t>
            </w:r>
            <w:r>
              <w:t xml:space="preserve"> </w:t>
            </w:r>
            <w:r>
              <w:t xml:space="preserve">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 ± 44.2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 ± 27.8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 ± 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 ± 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 ± 27.3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 ± 31.7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± 44.0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 ± 28.2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 ± 32.3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 ± 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 ± 28.2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 ± 31.7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91.0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93.6 ± 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92.3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 ±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94.6 ±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93.8 ± 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 ± 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±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 ± 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Lin Ding Shan (Independent researcher, Malaysia)</dc:creator>
  <cp:keywords/>
  <dcterms:created xsi:type="dcterms:W3CDTF">2026-10-09T03:36:26Z</dcterms:created>
  <dcterms:modified xsi:type="dcterms:W3CDTF">2026-10-09T03:36:26Z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  <property fmtid="{D5CDD505-2E9C-101B-9397-08002B2CF9AE}" pid="3" name="subtitle">
    <vt:lpwstr>How reliable is image-based diagnosis of durian (Durio zibethinus) diseases from field photographs? Grouped cross-validation, run-to-run variation and transfer to another country</vt:lpwstr>
  </property>
</Properties>
</file>