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Lin Ding Shan</w:t>
      </w:r>
      <w:r>
        <w:t xml:space="preserve"> </w:t>
      </w:r>
      <w:r>
        <w:t xml:space="preserve">Institute of Computer Science and Digital Innovation, UCSI University</w:t>
      </w:r>
      <w:r>
        <w:t xml:space="preserve"> </w:t>
      </w:r>
      <w:r>
        <w:t xml:space="preserve">Jalan Menara Gading, UCSI Heights, Cheras 56000, Kuala Lumpur, Malaysia</w:t>
      </w:r>
      <w:r>
        <w:t xml:space="preserve"> </w:t>
      </w:r>
      <w:r>
        <w:t xml:space="preserve">1002475487@ucsiuniversity.edu.my</w:t>
      </w:r>
    </w:p>
    <w:p>
      <w:pPr>
        <w:pStyle w:val="BodyText"/>
      </w:pPr>
      <w:r>
        <w:t xml:space="preserve">3 October 2026</w:t>
      </w:r>
    </w:p>
    <w:p>
      <w:pPr>
        <w:pStyle w:val="BodyText"/>
      </w:pPr>
      <w:r>
        <w:t xml:space="preserve">Editor-in-Chief</w:t>
      </w:r>
      <w:r>
        <w:t xml:space="preserve"> </w:t>
      </w:r>
      <w:r>
        <w:rPr>
          <w:iCs/>
          <w:i/>
        </w:rPr>
        <w:t xml:space="preserve">Pattern Recognition Letters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research report,</w:t>
      </w:r>
      <w:r>
        <w:t xml:space="preserve"> </w:t>
      </w:r>
      <w:r>
        <w:rPr>
          <w:iCs/>
          <w:i/>
        </w:rPr>
        <w:t xml:space="preserve">Seed-to-seed variation outweighs lightweight attention gains: a grouped, repeated cross-validation study on field durian disease images</w:t>
      </w:r>
      <w:r>
        <w:t xml:space="preserve">, for publication in</w:t>
      </w:r>
      <w:r>
        <w:t xml:space="preserve"> </w:t>
      </w:r>
      <w:r>
        <w:rPr>
          <w:iCs/>
          <w:i/>
        </w:rPr>
        <w:t xml:space="preserve">Pattern Recognition Letters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the paper reports.</w:t>
      </w:r>
      <w:r>
        <w:t xml:space="preserve"> </w:t>
      </w:r>
      <w:r>
        <w:t xml:space="preserve">Attention modules added to pretrained convolutional networks are routinely reported to raise plant disease classification accuracy by a few points. We tested three lightweight modules (a 1,281-parameter spatial gate, squeeze-and-excitation and CBAM) on an EfficientNet-B0 classifier of four durian disease classes, using 550 field images from Malaysian orchards, under an evaluation that controls the three things that usually go uncontrolled on datasets of this size: images were split by capture group so that near-duplicate photographs never straddle a split, every configuration was trained on 20 grouped folds with two fixed seeds (160 runs), and configurations were compared in pairs with the corrected resampled</w:t>
      </w:r>
      <w:r>
        <w:t xml:space="preserve"> </w:t>
      </w:r>
      <w:r>
        <w:rPr>
          <w:iCs/>
          <w:i/>
        </w:rPr>
        <w:t xml:space="preserve">t</w:t>
      </w:r>
      <w:r>
        <w:t xml:space="preserve">-test. A decision rule was written before the runs, and a 200-run follow-up at earlier insertion points and higher resolution was pre-registered. No module met the rule (LFA: −0.13 percentage points, 95% CI −4.56 to 4.31). Changing only the random seed moved macro F1 by 5.3 points on average, and in one seed-matched single-run pair in five the module appeared to be 3 points ahead. The models transferred poorly to an independent Vietnamese dataset.</w:t>
      </w:r>
    </w:p>
    <w:p>
      <w:pPr>
        <w:pStyle w:val="BodyText"/>
      </w:pPr>
      <w:r>
        <w:rPr>
          <w:bCs/>
          <w:b/>
        </w:rPr>
        <w:t xml:space="preserve">Why it fits the journal.</w:t>
      </w:r>
      <w:r>
        <w:t xml:space="preserve"> </w:t>
      </w:r>
      <w:r>
        <w:t xml:space="preserve">The report is a concise methodological finding of wide application rather than a new architecture: on small field datasets, the uncontrolled variation from the split, the seed and the test is of the same size as the gains attributed to lightweight attention, so single-run comparisons of a few points carry little information about the architecture. The paper shows how large that variation is, with a design that other small-data pattern-recognition studies can reuse. It is 7 pages in the double-column format including all figures, tables and references.</w:t>
      </w:r>
    </w:p>
    <w:p>
      <w:pPr>
        <w:pStyle w:val="BodyTex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The images and capture-session identifiers are deposited on Zenodo (doi:10.5281/zenodo.22177133). The code, the exact fold assignment, every per-image test prediction, the pre-registered analysis of the follow-up and the scripts that regenerate every number, table and figure in the paper are released in a public repository (https://github.com/xiaolin200206/durian-attention-cv), together with a verification script that recomputes every reported quantity from the raw predictions.</w:t>
      </w:r>
    </w:p>
    <w:p>
      <w:pPr>
        <w:pStyle w:val="BodyText"/>
      </w:pPr>
      <w:r>
        <w:rPr>
          <w:bCs/>
          <w:b/>
        </w:rPr>
        <w:t xml:space="preserve">Declarations.</w:t>
      </w:r>
      <w:r>
        <w:t xml:space="preserve"> </w:t>
      </w:r>
      <w:r>
        <w:t xml:space="preserve">The work is original, has not been published previously (including as a preprint) and is not under consideration elsewhere. The study is single-authored; the author collected and labelled the images, designed and ran all experiments and wrote the paper. The author is developing a handheld decision-support device for durian disease and pest scouting and therefore has a potential financial interest in the field; this is stated in the manuscript. No funding was received. A generative AI tool (Claude, Anthropic) was used to help write and check the experiment and analysis code and to edit the text; the author verified every result and takes full responsibility for the content, as declared in the manuscript. No human participants or animals were involved; access to the orchards was granted by their owners.</w:t>
      </w:r>
    </w:p>
    <w:p>
      <w:pPr>
        <w:pStyle w:val="BodyText"/>
      </w:pPr>
      <w:r>
        <w:t xml:space="preserve">Thank you for considering the manuscript.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Lin Ding Shan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2026-10-03T07:23:04Z</dcterms:created>
  <dcterms:modified xsi:type="dcterms:W3CDTF">2026-10-03T07:23:04Z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