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</w:t>
      </w:r>
    </w:p>
    <w:p>
      <w:pPr>
        <w:pStyle w:val="Subtitle"/>
      </w:pPr>
      <w:r>
        <w:t xml:space="preserve">Seed-to-seed</w:t>
      </w:r>
      <w:r>
        <w:t xml:space="preserve"> </w:t>
      </w:r>
      <w:r>
        <w:t xml:space="preserve">variation</w:t>
      </w:r>
      <w:r>
        <w:t xml:space="preserve"> </w:t>
      </w:r>
      <w:r>
        <w:t xml:space="preserve">outweighs</w:t>
      </w:r>
      <w:r>
        <w:t xml:space="preserve"> </w:t>
      </w:r>
      <w:r>
        <w:t xml:space="preserve">lightweight</w:t>
      </w:r>
      <w:r>
        <w:t xml:space="preserve"> </w:t>
      </w:r>
      <w:r>
        <w:t xml:space="preserve">attention</w:t>
      </w:r>
      <w:r>
        <w:t xml:space="preserve"> </w:t>
      </w:r>
      <w:r>
        <w:t xml:space="preserve">gains:</w:t>
      </w:r>
      <w:r>
        <w:t xml:space="preserve"> </w:t>
      </w:r>
      <w:r>
        <w:t xml:space="preserve">a</w:t>
      </w:r>
      <w:r>
        <w:t xml:space="preserve"> </w:t>
      </w:r>
      <w:r>
        <w:t xml:space="preserve">grouped,</w:t>
      </w:r>
      <w:r>
        <w:t xml:space="preserve"> </w:t>
      </w:r>
      <w:r>
        <w:t xml:space="preserve">repeated</w:t>
      </w:r>
      <w:r>
        <w:t xml:space="preserve"> </w:t>
      </w:r>
      <w:r>
        <w:t xml:space="preserve">cross-validation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field</w:t>
      </w:r>
      <w:r>
        <w:t xml:space="preserve"> </w:t>
      </w:r>
      <w:r>
        <w:t xml:space="preserve">durian</w:t>
      </w:r>
      <w:r>
        <w:t xml:space="preserve"> </w:t>
      </w:r>
      <w:r>
        <w:t xml:space="preserve">disease</w:t>
      </w:r>
      <w:r>
        <w:t xml:space="preserve"> </w:t>
      </w:r>
      <w:r>
        <w:t xml:space="preserve">images</w:t>
      </w:r>
    </w:p>
    <w:p>
      <w:pPr>
        <w:pStyle w:val="Author"/>
      </w:pPr>
      <w:r>
        <w:t xml:space="preserve">Lin</w:t>
      </w:r>
      <w:r>
        <w:t xml:space="preserve"> </w:t>
      </w:r>
      <w:r>
        <w:t xml:space="preserve">Ding</w:t>
      </w:r>
      <w:r>
        <w:t xml:space="preserve"> </w:t>
      </w:r>
      <w:r>
        <w:t xml:space="preserve">Shan</w:t>
      </w:r>
      <w:r>
        <w:t xml:space="preserve"> </w:t>
      </w:r>
      <w:r>
        <w:t xml:space="preserve">(UCSI</w:t>
      </w:r>
      <w:r>
        <w:t xml:space="preserve"> </w:t>
      </w:r>
      <w:r>
        <w:t xml:space="preserve">University)</w:t>
      </w:r>
    </w:p>
    <w:p>
      <w:pPr>
        <w:pStyle w:val="FirstParagraph"/>
      </w:pPr>
      <w:r>
        <w:t xml:space="preserve">All tables and figures are generated by</w:t>
      </w:r>
      <w:r>
        <w:t xml:space="preserve"> </w:t>
      </w:r>
      <w:r>
        <w:rPr>
          <w:rStyle w:val="VerbatimChar"/>
        </w:rPr>
        <w:t xml:space="preserve">paper/prl/make_supplement_prl.py</w:t>
      </w:r>
      <w:r>
        <w:t xml:space="preserve"> </w:t>
      </w:r>
      <w:r>
        <w:t xml:space="preserve">from the released result files (</w:t>
      </w:r>
      <w:r>
        <w:rPr>
          <w:rStyle w:val="VerbatimChar"/>
        </w:rPr>
        <w:t xml:space="preserve">results/preds.csv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results/results.csv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results/v2/results.csv</w:t>
      </w:r>
      <w:r>
        <w:t xml:space="preserve"> </w:t>
      </w:r>
      <w:r>
        <w:t xml:space="preserve">and the derived</w:t>
      </w:r>
      <w:r>
        <w:t xml:space="preserve"> </w:t>
      </w:r>
      <w:r>
        <w:rPr>
          <w:rStyle w:val="VerbatimChar"/>
        </w:rPr>
        <w:t xml:space="preserve">numbers.json</w:t>
      </w:r>
      <w:r>
        <w:t xml:space="preserve">).</w:t>
      </w:r>
    </w:p>
    <w:bookmarkStart w:id="20" w:name="X9c4e674dfd85235b4374dee56a700504718fcd6"/>
    <w:p>
      <w:pPr>
        <w:pStyle w:val="Heading2"/>
      </w:pPr>
      <w:r>
        <w:t xml:space="preserve">Table S1. Per-class precision, recall and F1 (%, mean ± SD over runs in which the class was present), all test images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Algal leaf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72.9 ± 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 ± 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 ± 19.3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73.8 ± 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61.1 ± 21.2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63.6 ± 21.0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72.8 ± 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59.9 ± 20.6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 ± 19.9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74.1 ± 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60.7 ± 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63.6 ± 21.1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Leaf 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 ± 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78.9 ± 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70.7 ± 12.3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66.9 ± 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82.9 ± 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 ± 11.1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64.8 ± 17.9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79.3 ± 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69.4 ± 15.5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66.0 ± 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82.2 ± 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 ± 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Phomopsis</w:t>
            </w:r>
            <w:r>
              <w:t xml:space="preserve"> </w:t>
            </w:r>
            <w:r>
              <w:t xml:space="preserve">leaf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77.2 ± 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78.6 ± 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74.2 ± 13.4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 ± 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76.7 ± 19.4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73.5 ± 13.9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78.3 ± 20.9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78.9 ± 18.8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74.9 ± 14.7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77.0 ± 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78.1 ± 20.4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73.4 ± 14.9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and collar 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91.0 ± 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99.3 ±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93.6 ± 14.2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92.3 ± 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 ±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94.6 ± 11.6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91.2 ± 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99.3 ±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93.8 ± 14.2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91.5 ± 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99.2 ±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 ± 13.1</w:t>
            </w:r>
          </w:p>
        </w:tc>
      </w:tr>
    </w:tbl>
    <w:bookmarkEnd w:id="20"/>
    <w:bookmarkStart w:id="21" w:name="X5da2f3449080c8bee101665b2e3fbae9663d346"/>
    <w:p>
      <w:pPr>
        <w:pStyle w:val="Heading2"/>
      </w:pPr>
      <w:r>
        <w:t xml:space="preserve">Table S2. Accuracy (%, mean ± SD over 40 runs) and paired difference from the plain network over 20 folds (corrected resampled</w:t>
      </w:r>
      <w:r>
        <w:t xml:space="preserve"> </w:t>
      </w:r>
      <w:r>
        <w:rPr>
          <w:iCs/>
          <w:i/>
        </w:rPr>
        <w:t xml:space="preserve">t</w:t>
      </w:r>
      <w:r>
        <w:t xml:space="preserve">-test)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(pp) [95% 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</w:t>
            </w:r>
            <w:r>
              <w:t xml:space="preserve">, 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Folds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75.95 ± 9.33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75.47 ± 10.09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−0.49 [−4.67, 3.70]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74.75 ± 10.93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−1.20 [−8.79, 6.39]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75.78 ± 9.66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−0.17 [−4.82, 4.47]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</w:t>
            </w:r>
          </w:p>
        </w:tc>
      </w:tr>
    </w:tbl>
    <w:bookmarkEnd w:id="21"/>
    <w:bookmarkStart w:id="22" w:name="Xa90d20032e1817a5ff31bd2248af5237ed6bbf2"/>
    <w:p>
      <w:pPr>
        <w:pStyle w:val="Heading2"/>
      </w:pPr>
      <w:r>
        <w:t xml:space="preserve">Table S3. Preliminary experiment: eight runs per configuration on one fixed five-class split (earlier code; training randomness not controlled by the seed, so replicates are unpaired)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F1, mean ±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from none (pp)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</w:t>
            </w:r>
            <w:r>
              <w:t xml:space="preserve">, Welch</w:t>
            </w:r>
            <w:r>
              <w:t xml:space="preserve"> </w:t>
            </w:r>
            <w:r>
              <w:rPr>
                <w:iCs/>
                <w:i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</w:t>
            </w:r>
            <w:r>
              <w:t xml:space="preserve">, Mann–Whitney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77.55 ± 1.91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78.05 ± 2.61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76.63 ± 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77.10 ± 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</w:tr>
    </w:tbl>
    <w:bookmarkEnd w:id="22"/>
    <w:bookmarkStart w:id="23" w:name="X6a47629adba6cbed65a815abdf95a8d06ad1757"/>
    <w:p>
      <w:pPr>
        <w:pStyle w:val="Heading2"/>
      </w:pPr>
      <w:r>
        <w:t xml:space="preserve">Table S4. Macro F1 averaged over all four classes (an absent class scored as zero), as stored by the training notebooks and used in the pre-specified decision rule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F1 (%), mean ±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difference (pp) [95% 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</w:t>
            </w:r>
            <w:r>
              <w:t xml:space="preserve">, 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rule (≥ 2 pp and CI &gt;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72.44 ± 13.05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72.32 ± 13.08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−0.12 [−4.54, 4.30]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71.63 ± 13.45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−0.82 [−7.63, 6.00]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72.18 ± 13.43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−0.27 [−5.11, 4.57]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23"/>
    <w:bookmarkStart w:id="24" w:name="X444fa1d9007283d6c674b265fe33ecc14f5d543"/>
    <w:p>
      <w:pPr>
        <w:pStyle w:val="Heading2"/>
      </w:pPr>
      <w:r>
        <w:t xml:space="preserve">Table S5. Training settings (identical for all configurations)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EfficientNet-B0, torchvision ImageNet weights (IMAGENET1K_V1)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Train: RandomResizedCrop(224, scale 0.7–1.0). Evaluation: Resize(256) on the short side, CenterCrop(224)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flip p = 0.5; vertical flip p = 0.3; RandomAffine (rotation ±20°, translation 5 %, scale 0.95–1.05); ColorJitter (brightness 0.3, contrast 0.3, saturation 0.2, hue 0.05); GaussianBlur (kernel 3–7, σ 0.1–1.5); ImageNet normalisation; RandomErasing p = 0.3, 2–10 % of the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Classifier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Dropout p = 0.3, Linear(1280,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epochs, backbone frozen (BatchNorm statistics still updating), Adam, lr 1e-3, attention module + head trained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epochs, all parameters trainable, Adam, lr 1e-5, starting from the best stage-1 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inner-validation macro F1 over both stages; inner validation ≈ 10 % of the training part, by whole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and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Cross-entropy with inverse-frequency class weights; WeightedRandomSampler with class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precision (torch.autocast with a gradient scaler)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and 1 per fold; Python, NumPy, PyTorch, sampler and data-loader workers seeded; cuDNN deterministic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Colab GPU runtime; PyTorch and torchvision</w:t>
            </w:r>
          </w:p>
        </w:tc>
      </w:tr>
    </w:tbl>
    <w:bookmarkEnd w:id="24"/>
    <w:bookmarkStart w:id="25" w:name="X8e335bce665e654a09a21b14039c9383f4cb053"/>
    <w:p>
      <w:pPr>
        <w:pStyle w:val="Heading2"/>
      </w:pPr>
      <w:r>
        <w:t xml:space="preserve">Table S6. Paired comparisons of macro F1 with the plain network under three tests over the 20 folds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difference (pp)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</w:t>
            </w:r>
            <w:r>
              <w:t xml:space="preserve">, corrected resampled</w:t>
            </w:r>
            <w:r>
              <w:t xml:space="preserve"> </w:t>
            </w:r>
            <w:r>
              <w:rPr>
                <w:iCs/>
                <w:i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</w:t>
            </w:r>
            <w:r>
              <w:t xml:space="preserve">, uncorrected paired</w:t>
            </w:r>
            <w:r>
              <w:t xml:space="preserve"> </w:t>
            </w:r>
            <w:r>
              <w:rPr>
                <w:iCs/>
                <w:i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</w:t>
            </w:r>
            <w:r>
              <w:t xml:space="preserve">, Wilcoxon signed-rank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0.277</w:t>
            </w:r>
          </w:p>
        </w:tc>
      </w:tr>
    </w:tbl>
    <w:bookmarkEnd w:id="25"/>
    <w:bookmarkStart w:id="26" w:name="X7fb780469569553e5392df2ebe0567c63d9eca1"/>
    <w:p>
      <w:pPr>
        <w:pStyle w:val="Heading2"/>
      </w:pPr>
      <w:r>
        <w:t xml:space="preserve">Table S7. Sensitivity to the grouping of video frames (Section 2.1 of the manuscript)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images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test images per 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F1 (%), mean ±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difference (pp) [95% CI]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</w:t>
            </w:r>
            <w:r>
              <w:t xml:space="preserve">, 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test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75.06 ± 10.86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74.93 ± 10.95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−0.13 [−4.56, 4.31]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74.29 ± 11.80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−0.77 [−7.62, 6.08]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74.68 ± 10.78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−0.38 [−5.48, 4.73]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frames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66.60 ± 12.04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66.46 ± 12.15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−0.13 [−4.55, 4.28]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65.34 ± 12.74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−1.26 [−10.28, 7.76]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66.37 ± 13.06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−0.23 [−5.83, 5.37]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images whose video-linked group was not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67.36 ± 12.17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66.54 ± 12.34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−0.83 [−6.09, 4.44]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64.54 ± 14.16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−2.83 [−11.70, 6.04]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66.19 ± 14.53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−1.17 [−7.96, 5.62]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0.722</w:t>
            </w:r>
          </w:p>
        </w:tc>
      </w:tr>
    </w:tbl>
    <w:p>
      <w:pPr>
        <w:pStyle w:val="BodyText"/>
      </w:pPr>
      <w:r>
        <w:t xml:space="preserve">Without the video frames the mean seed difference was 5.67 points, and LFA was at least 3 points ahead of the plain network in 20.0 % of seed-matched pairs and at least 3 points behind in 22.5 %.</w:t>
      </w:r>
    </w:p>
    <w:bookmarkEnd w:id="26"/>
    <w:bookmarkStart w:id="27" w:name="X006f3aad3d8c1ce93ff8bb76a5bc6841c4ac2de"/>
    <w:p>
      <w:pPr>
        <w:pStyle w:val="Heading2"/>
      </w:pPr>
      <w:r>
        <w:t xml:space="preserve">Table S8. Model size, computation and CPU latency for one 224 × 224 image (median and 90th percentile of 200 passes, Colab CPU)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thread, median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thread, p90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threads, median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threads, p90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27.03</w:t>
            </w:r>
          </w:p>
        </w:tc>
      </w:tr>
    </w:tbl>
    <w:bookmarkEnd w:id="27"/>
    <w:bookmarkStart w:id="28" w:name="Xa8c5c2525bd93c4e0a7811bd789fe7ff3bdb589"/>
    <w:p>
      <w:pPr>
        <w:pStyle w:val="Heading2"/>
      </w:pPr>
      <w:r>
        <w:t xml:space="preserve">Table S9. Fold sizes and macro F1 per fold (%, mean of two seeds; † no root and collar rot image in the test fold)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80.39</w:t>
            </w:r>
          </w:p>
        </w:tc>
      </w:tr>
    </w:tbl>
    <w:bookmarkEnd w:id="28"/>
    <w:bookmarkStart w:id="35" w:name="figures-s1-and-s2"/>
    <w:p>
      <w:pPr>
        <w:pStyle w:val="Heading2"/>
      </w:pPr>
      <w:r>
        <w:t xml:space="preserve">Figures S1 and S2</w:t>
      </w:r>
    </w:p>
    <w:p>
      <w:pPr>
        <w:pStyle w:val="CaptionedFigure"/>
      </w:pPr>
      <w:r>
        <w:drawing>
          <wp:inline>
            <wp:extent cx="5334000" cy="2569664"/>
            <wp:effectExtent b="0" l="0" r="0" t="0"/>
            <wp:docPr descr="Confusion matrices of the plain network and LFA, pooled over the 40 runs of each configuration and normalised by row (%)." title="" id="30" name="Picture"/>
            <a:graphic>
              <a:graphicData uri="http://schemas.openxmlformats.org/drawingml/2006/picture">
                <pic:pic>
                  <pic:nvPicPr>
                    <pic:cNvPr descr="figs/fig5_confus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matrices of the plain network and LFA, pooled over the 40 runs of each configuration and normalised by row (%).</w:t>
      </w:r>
    </w:p>
    <w:p>
      <w:pPr>
        <w:pStyle w:val="CaptionedFigure"/>
      </w:pPr>
      <w:r>
        <w:drawing>
          <wp:inline>
            <wp:extent cx="3733800" cy="2441330"/>
            <wp:effectExtent b="0" l="0" r="0" t="0"/>
            <wp:docPr descr="Macro F1 of each configuration on each of the 20 folds (grey lines, mean of two seeds) and the mean over folds (blue)." title="" id="33" name="Picture"/>
            <a:graphic>
              <a:graphicData uri="http://schemas.openxmlformats.org/drawingml/2006/picture">
                <pic:pic>
                  <pic:nvPicPr>
                    <pic:cNvPr descr="figs/fig4_fold_sprea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 F1 of each configuration on each of the 20 folds (grey lines, mean of two seeds) and the mean over folds (blue).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>Lin Ding Shan (UCSI University)</dc:creator>
  <cp:keywords/>
  <dcterms:created xsi:type="dcterms:W3CDTF">2026-10-03T07:38:09Z</dcterms:created>
  <dcterms:modified xsi:type="dcterms:W3CDTF">2026-10-03T07:38:09Z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subtitle">
    <vt:lpwstr>Seed-to-seed variation outweighs lightweight attention gains: a grouped, repeated cross-validation study on field durian disease images</vt:lpwstr>
  </property>
</Properties>
</file>