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113f8f9293186b1dee167041095698841d995d"/>
    <w:p>
      <w:pPr>
        <w:pStyle w:val="Heading1"/>
      </w:pPr>
      <w:r>
        <w:t xml:space="preserve">Held-out unit variability overshadows architectural differences in clustered machine-learning benchmarks</w:t>
      </w:r>
    </w:p>
    <w:p>
      <w:pPr>
        <w:pStyle w:val="FirstParagraph"/>
      </w:pPr>
      <w:r>
        <w:t xml:space="preserve">Lin Ding Shan</w:t>
      </w:r>
    </w:p>
    <w:p>
      <w:pPr>
        <w:pStyle w:val="BodyText"/>
      </w:pPr>
      <w:r>
        <w:t xml:space="preserve">Faculty of Computer Science (Data Science), UCSI University, Kuala Lumpur, Malaysia · 1002475487@ucsiuniversity.edu.my · ORCID 0009-0009-6031-8479</w:t>
      </w:r>
    </w:p>
    <w:p>
      <w:pPr>
        <w:pStyle w:val="BlockText"/>
      </w:pPr>
      <w:r>
        <w:rPr>
          <w:bCs/>
          <w:b/>
        </w:rPr>
        <w:t xml:space="preserve">Working note (delete before submission).</w:t>
      </w:r>
      <w:r>
        <w:t xml:space="preserve"> </w:t>
      </w:r>
      <w:r>
        <w:t xml:space="preserve">Written for</w:t>
      </w:r>
      <w:r>
        <w:t xml:space="preserve"> </w:t>
      </w:r>
      <w:r>
        <w:rPr>
          <w:iCs/>
          <w:i/>
        </w:rPr>
        <w:t xml:space="preserve">Nature Computational Science</w:t>
      </w:r>
      <w:r>
        <w:t xml:space="preserve">. Every number comes from</w:t>
      </w:r>
      <w:r>
        <w:t xml:space="preserve"> </w:t>
      </w:r>
      <w:r>
        <w:rPr>
          <w:rStyle w:val="VerbatimChar"/>
        </w:rPr>
        <w:t xml:space="preserve">results_clean/summary_*.csv</w:t>
      </w:r>
      <w:r>
        <w:t xml:space="preserve">, recomputed by</w:t>
      </w:r>
      <w:r>
        <w:t xml:space="preserve"> </w:t>
      </w:r>
      <w:r>
        <w:rPr>
          <w:rStyle w:val="VerbatimChar"/>
        </w:rPr>
        <w:t xml:space="preserve">scripts/analyse/recompute_clean.py</w:t>
      </w:r>
      <w:r>
        <w:t xml:space="preserve"> </w:t>
      </w:r>
      <w:r>
        <w:t xml:space="preserve">and re-checked by</w:t>
      </w:r>
      <w:r>
        <w:t xml:space="preserve"> </w:t>
      </w:r>
      <w:r>
        <w:rPr>
          <w:rStyle w:val="VerbatimChar"/>
        </w:rPr>
        <w:t xml:space="preserve">verify_claims.py</w:t>
      </w:r>
      <w:r>
        <w:t xml:space="preserve">. Items marked</w:t>
      </w:r>
      <w:r>
        <w:t xml:space="preserve"> </w:t>
      </w:r>
      <w:r>
        <w:rPr>
          <w:bCs/>
          <w:b/>
        </w:rPr>
        <w:t xml:space="preserve">[[TODO]]</w:t>
      </w:r>
      <w:r>
        <w:t xml:space="preserve"> </w:t>
      </w:r>
      <w:r>
        <w:t xml:space="preserve">need a decision or an external answer before submission.</w:t>
      </w:r>
    </w:p>
    <w:bookmarkStart w:id="20" w:name="abstract"/>
    <w:p>
      <w:pPr>
        <w:pStyle w:val="Heading2"/>
      </w:pPr>
      <w:r>
        <w:t xml:space="preserve">Abstract</w:t>
      </w:r>
    </w:p>
    <w:p>
      <w:pPr>
        <w:pStyle w:val="FirstParagraph"/>
      </w:pPr>
      <w:r>
        <w:t xml:space="preserve">Machine-learning measurements are reported as single numbers and read as properties of the model. When observations are clustered — photographs from one farm, sections from one patient, windows from one wearer — the number is also a property of which clusters were withheld. On four datasets from three disciplines, under a protocol in which withheld units enter no training decision, partitioning by unit rather than by item lowers the reported figure by 3.7–55.8%. Which unit a score is computed on accounts for most of its variance on every dataset, with bootstrap lower bounds of 44–75% against model upper bounds below 8%. Across eighteen model pairs spanning five architecture families the paired differences are too small for these corpora to estimate precisely, and letting the withheld unit select the checkpoint makes several appear larger. Scores on clustered data need their unit counts and an inner validation set drawn from training units.</w:t>
      </w:r>
    </w:p>
    <w:p>
      <w:pPr>
        <w:pStyle w:val="BodyText"/>
      </w:pPr>
      <w:r>
        <w:rPr>
          <w:iCs/>
          <w:i/>
        </w:rPr>
        <w:t xml:space="preserve">(146 words)</w:t>
      </w:r>
    </w:p>
    <w:bookmarkEnd w:id="20"/>
    <w:bookmarkStart w:id="21" w:name="main"/>
    <w:p>
      <w:pPr>
        <w:pStyle w:val="Heading2"/>
      </w:pPr>
      <w:r>
        <w:t xml:space="preserve">Main</w:t>
      </w:r>
    </w:p>
    <w:p>
      <w:pPr>
        <w:pStyle w:val="FirstParagraph"/>
      </w:pPr>
      <w:r>
        <w:t xml:space="preserve">A model is evaluated by withholding part of the data and scoring what was withheld. That score is then read as a property of the model — reported in a table, compared against another model, used to decide what to deploy.</w:t>
      </w:r>
    </w:p>
    <w:p>
      <w:pPr>
        <w:pStyle w:val="BodyText"/>
      </w:pPr>
      <w:r>
        <w:t xml:space="preserve">The reading is safe only if the withheld items are close to independent of the ones used for training, and if the unit over which they were sampled matches the unit over which generalisation is claimed. Neither holds when observations are clustered. A grower photographs one symptomatic leaf from several angles. A laboratory sections one patient’s tumour into dozens of fields. A volunteer wears an accelerometer for an afternoon and generates hundreds of windows. Items inside a cluster share far more than their label — a leaf, a stain batch, a gait, a device — so splitting at random puts near-copies on both sides of the boundary, and a model can score well by recognising the cluster. Splitting by cluster removes that, and exposes a second problem. The score now depends on which clusters were withheld.</w:t>
      </w:r>
    </w:p>
    <w:p>
      <w:pPr>
        <w:pStyle w:val="BodyText"/>
      </w:pPr>
      <w:r>
        <w:t xml:space="preserve">Both facts are established. In medical imaging and physiological signal analysis the first is called identity confounding and subject-wise partitioning is routine [7–11]; Kapoor and Narayanan place it in a taxonomy of leakage across machine-learning-based science [12]. In agricultural vision the Global Wheat Head Detection dataset groups images by acquisition session and rejects random splitting [3–5], and WILDS adopts that grouping as a domain-generalisation benchmark [6]. For the second, the statistics of clustered data are long settled. Precision is governed by the number of independent clusters and the dependence within them, not by the item count [26,27]. Bouthillier et al. found the data-sampling component of benchmark variance large relative to what is usually reported [28], and Varoquaux showed that small evaluation samples carry error bars wide enough to reverse conclusions [29].</w:t>
      </w:r>
    </w:p>
    <w:p>
      <w:pPr>
        <w:pStyle w:val="BodyText"/>
      </w:pPr>
      <w:r>
        <w:t xml:space="preserve">What remains poorly quantified across real computational-science benchmarks is how the two combine. Once cluster overlap is removed, how much of a reported figure is attributable to which units were withheld, relative to the model and to training randomness? Does it change which model a comparison selects? How many independent units does a figure need before it is worth the precision it appears to have? These are questions about an estimand — what a held-out number estimates — and they bear on how a benchmark table should be read.</w:t>
      </w:r>
    </w:p>
    <w:p>
      <w:pPr>
        <w:pStyle w:val="BodyText"/>
      </w:pPr>
      <w:r>
        <w:t xml:space="preserve">We answer them on four datasets spanning images and inertial time series, three disciplines, and ten model configurations across five architecture families (Table 1). The statistical weight rests on the three public corpora, with 47, 81 and 30 independent units; an eight-farm corpus of our own is an extreme illustration, not the main evidence.</w:t>
      </w:r>
    </w:p>
    <w:p>
      <w:pPr>
        <w:pStyle w:val="BodyText"/>
      </w:pPr>
      <w:r>
        <w:t xml:space="preserve">The evaluation protocol is worth stating before the results. Under the leave-one-unit-out designs in common use, the withheld unit is also the validation set of the training loop — a form of leakage we refer to as checkpoint-selection leakage, to distinguish it from the item-level leakage that grouped splitting is meant to remove. It is scored every epoch, it decides when to stop, and it selects which weights to keep. The unit never enters a gradient, but it enters model selection. This is not an exotic mistake but the default behaviour of the training framework used here and widely elsewhere. The framework scores the validation split every epoch and returns the best-scoring weights, so any study that hands a leave-one-group-out fold’s held-out group to the trainer as its validation set inherits the problem. Reporting guidance [26] and leakage surveys [12] describe the pattern; its prevalence in published work is not quantified here. We therefore retrained every image model under a protocol in which the withheld units enter no training decision at all — the inner validation set is drawn only from training units, and the withheld units are scored once, after the weights are frozen. The headline comparisons, variance decompositions, per-unit distributions and model comparisons are from that protocol; three analyses are not and are marked where they appear — the training-unit dose-response, the covariate and confidence analyses, and the burst-threshold sweep predate the retraining. The contaminated protocol is retained as a comparison, because the difference between the two is itself a result.</w:t>
      </w:r>
    </w:p>
    <w:p>
      <w:pPr>
        <w:pStyle w:val="BodyText"/>
      </w:pPr>
      <w:r>
        <w:rPr>
          <w:bCs/>
          <w:b/>
        </w:rPr>
        <w:t xml:space="preserve">Table 1 | Datasets, units and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Modality</w:t>
            </w:r>
          </w:p>
        </w:tc>
        <w:tc>
          <w:tcPr/>
          <w:p>
            <w:pPr>
              <w:pStyle w:val="Compact"/>
              <w:jc w:val="left"/>
            </w:pPr>
            <w:r>
              <w:t xml:space="preserve">Task</w:t>
            </w:r>
          </w:p>
        </w:tc>
        <w:tc>
          <w:tcPr/>
          <w:p>
            <w:pPr>
              <w:pStyle w:val="Compact"/>
              <w:jc w:val="left"/>
            </w:pPr>
            <w:r>
              <w:t xml:space="preserve">Unit</w:t>
            </w:r>
          </w:p>
        </w:tc>
        <w:tc>
          <w:tcPr/>
          <w:p>
            <w:pPr>
              <w:pStyle w:val="Compact"/>
              <w:jc w:val="left"/>
            </w:pPr>
            <w:r>
              <w:t xml:space="preserve">Units</w:t>
            </w:r>
          </w:p>
        </w:tc>
        <w:tc>
          <w:tcPr/>
          <w:p>
            <w:pPr>
              <w:pStyle w:val="Compact"/>
              <w:jc w:val="left"/>
            </w:pPr>
            <w:r>
              <w:t xml:space="preserve">Items</w:t>
            </w:r>
          </w:p>
        </w:tc>
        <w:tc>
          <w:tcPr/>
          <w:p>
            <w:pPr>
              <w:pStyle w:val="Compact"/>
              <w:jc w:val="left"/>
            </w:pPr>
            <w:r>
              <w:t xml:space="preserve">Model configurations</w:t>
            </w:r>
          </w:p>
        </w:tc>
        <w:tc>
          <w:tcPr/>
          <w:p>
            <w:pPr>
              <w:pStyle w:val="Compact"/>
              <w:jc w:val="left"/>
            </w:pPr>
            <w:r>
              <w:t xml:space="preserve">Clean runs</w:t>
            </w:r>
          </w:p>
        </w:tc>
      </w:tr>
      <w:tr>
        <w:tc>
          <w:tcPr/>
          <w:p>
            <w:pPr>
              <w:pStyle w:val="Compact"/>
              <w:jc w:val="left"/>
            </w:pPr>
            <w:r>
              <w:t xml:space="preserve">Durian</w:t>
            </w:r>
          </w:p>
        </w:tc>
        <w:tc>
          <w:tcPr/>
          <w:p>
            <w:pPr>
              <w:pStyle w:val="Compact"/>
              <w:jc w:val="left"/>
            </w:pPr>
            <w:r>
              <w:t xml:space="preserve">Images</w:t>
            </w:r>
          </w:p>
        </w:tc>
        <w:tc>
          <w:tcPr/>
          <w:p>
            <w:pPr>
              <w:pStyle w:val="Compact"/>
              <w:jc w:val="left"/>
            </w:pPr>
            <w:r>
              <w:t xml:space="preserve">Detection, 6 classes</w:t>
            </w:r>
          </w:p>
        </w:tc>
        <w:tc>
          <w:tcPr/>
          <w:p>
            <w:pPr>
              <w:pStyle w:val="Compact"/>
              <w:jc w:val="left"/>
            </w:pPr>
            <w:r>
              <w:t xml:space="preserve">Farm</w:t>
            </w:r>
          </w:p>
        </w:tc>
        <w:tc>
          <w:tcPr/>
          <w:p>
            <w:pPr>
              <w:pStyle w:val="Compact"/>
              <w:jc w:val="left"/>
            </w:pPr>
            <w:r>
              <w:t xml:space="preserve">8</w:t>
            </w:r>
          </w:p>
        </w:tc>
        <w:tc>
          <w:tcPr/>
          <w:p>
            <w:pPr>
              <w:pStyle w:val="Compact"/>
              <w:jc w:val="left"/>
            </w:pPr>
            <w:r>
              <w:t xml:space="preserve">827</w:t>
            </w:r>
          </w:p>
        </w:tc>
        <w:tc>
          <w:tcPr/>
          <w:p>
            <w:pPr>
              <w:pStyle w:val="Compact"/>
              <w:jc w:val="left"/>
            </w:pPr>
            <w:r>
              <w:t xml:space="preserve">YOLO11n/s/m/l, RT-DETR-L, Faster R-CNN R50</w:t>
            </w:r>
          </w:p>
        </w:tc>
        <w:tc>
          <w:tcPr/>
          <w:p>
            <w:pPr>
              <w:pStyle w:val="Compact"/>
              <w:jc w:val="left"/>
            </w:pPr>
            <w:r>
              <w:t xml:space="preserve">252</w:t>
            </w:r>
          </w:p>
        </w:tc>
      </w:tr>
      <w:tr>
        <w:tc>
          <w:tcPr/>
          <w:p>
            <w:pPr>
              <w:pStyle w:val="Compact"/>
              <w:jc w:val="left"/>
            </w:pPr>
            <w:r>
              <w:t xml:space="preserve">GWHD 2021</w:t>
            </w:r>
          </w:p>
        </w:tc>
        <w:tc>
          <w:tcPr/>
          <w:p>
            <w:pPr>
              <w:pStyle w:val="Compact"/>
              <w:jc w:val="left"/>
            </w:pPr>
            <w:r>
              <w:t xml:space="preserve">Images</w:t>
            </w:r>
          </w:p>
        </w:tc>
        <w:tc>
          <w:tcPr/>
          <w:p>
            <w:pPr>
              <w:pStyle w:val="Compact"/>
              <w:jc w:val="left"/>
            </w:pPr>
            <w:r>
              <w:t xml:space="preserve">Detection, 1 class</w:t>
            </w:r>
          </w:p>
        </w:tc>
        <w:tc>
          <w:tcPr/>
          <w:p>
            <w:pPr>
              <w:pStyle w:val="Compact"/>
              <w:jc w:val="left"/>
            </w:pPr>
            <w:r>
              <w:t xml:space="preserve">Acquisition session</w:t>
            </w:r>
          </w:p>
        </w:tc>
        <w:tc>
          <w:tcPr/>
          <w:p>
            <w:pPr>
              <w:pStyle w:val="Compact"/>
              <w:jc w:val="left"/>
            </w:pPr>
            <w:r>
              <w:t xml:space="preserve">47</w:t>
            </w:r>
          </w:p>
        </w:tc>
        <w:tc>
          <w:tcPr/>
          <w:p>
            <w:pPr>
              <w:pStyle w:val="Compact"/>
              <w:jc w:val="left"/>
            </w:pPr>
            <w:r>
              <w:t xml:space="preserve">6,510</w:t>
            </w:r>
          </w:p>
        </w:tc>
        <w:tc>
          <w:tcPr/>
          <w:p>
            <w:pPr>
              <w:pStyle w:val="Compact"/>
              <w:jc w:val="left"/>
            </w:pPr>
            <w:r>
              <w:t xml:space="preserve">YOLO11s, YOLO11n</w:t>
            </w:r>
          </w:p>
        </w:tc>
        <w:tc>
          <w:tcPr/>
          <w:p>
            <w:pPr>
              <w:pStyle w:val="Compact"/>
              <w:jc w:val="left"/>
            </w:pPr>
            <w:r>
              <w:t xml:space="preserve">60</w:t>
            </w:r>
          </w:p>
        </w:tc>
      </w:tr>
      <w:tr>
        <w:tc>
          <w:tcPr/>
          <w:p>
            <w:pPr>
              <w:pStyle w:val="Compact"/>
              <w:jc w:val="left"/>
            </w:pPr>
            <w:r>
              <w:t xml:space="preserve">BreaKHis</w:t>
            </w:r>
          </w:p>
        </w:tc>
        <w:tc>
          <w:tcPr/>
          <w:p>
            <w:pPr>
              <w:pStyle w:val="Compact"/>
              <w:jc w:val="left"/>
            </w:pPr>
            <w:r>
              <w:t xml:space="preserve">Images</w:t>
            </w:r>
          </w:p>
        </w:tc>
        <w:tc>
          <w:tcPr/>
          <w:p>
            <w:pPr>
              <w:pStyle w:val="Compact"/>
              <w:jc w:val="left"/>
            </w:pPr>
            <w:r>
              <w:t xml:space="preserve">Classification, 2 classes</w:t>
            </w:r>
          </w:p>
        </w:tc>
        <w:tc>
          <w:tcPr/>
          <w:p>
            <w:pPr>
              <w:pStyle w:val="Compact"/>
              <w:jc w:val="left"/>
            </w:pPr>
            <w:r>
              <w:t xml:space="preserve">Patient</w:t>
            </w:r>
          </w:p>
        </w:tc>
        <w:tc>
          <w:tcPr/>
          <w:p>
            <w:pPr>
              <w:pStyle w:val="Compact"/>
              <w:jc w:val="left"/>
            </w:pPr>
            <w:r>
              <w:t xml:space="preserve">81</w:t>
            </w:r>
          </w:p>
        </w:tc>
        <w:tc>
          <w:tcPr/>
          <w:p>
            <w:pPr>
              <w:pStyle w:val="Compact"/>
              <w:jc w:val="left"/>
            </w:pPr>
            <w:r>
              <w:t xml:space="preserve">7,909</w:t>
            </w:r>
          </w:p>
        </w:tc>
        <w:tc>
          <w:tcPr/>
          <w:p>
            <w:pPr>
              <w:pStyle w:val="Compact"/>
              <w:jc w:val="left"/>
            </w:pPr>
            <w:r>
              <w:t xml:space="preserve">YOLO11s-cls, YOLO11n-cls</w:t>
            </w:r>
          </w:p>
        </w:tc>
        <w:tc>
          <w:tcPr/>
          <w:p>
            <w:pPr>
              <w:pStyle w:val="Compact"/>
              <w:jc w:val="left"/>
            </w:pPr>
            <w:r>
              <w:t xml:space="preserve">100</w:t>
            </w:r>
          </w:p>
        </w:tc>
      </w:tr>
      <w:tr>
        <w:tc>
          <w:tcPr/>
          <w:p>
            <w:pPr>
              <w:pStyle w:val="Compact"/>
              <w:jc w:val="left"/>
            </w:pPr>
            <w:r>
              <w:t xml:space="preserve">UCI HAR</w:t>
            </w:r>
          </w:p>
        </w:tc>
        <w:tc>
          <w:tcPr/>
          <w:p>
            <w:pPr>
              <w:pStyle w:val="Compact"/>
              <w:jc w:val="left"/>
            </w:pPr>
            <w:r>
              <w:t xml:space="preserve">Inertial series</w:t>
            </w:r>
          </w:p>
        </w:tc>
        <w:tc>
          <w:tcPr/>
          <w:p>
            <w:pPr>
              <w:pStyle w:val="Compact"/>
              <w:jc w:val="left"/>
            </w:pPr>
            <w:r>
              <w:t xml:space="preserve">Classification, 6 classes</w:t>
            </w:r>
          </w:p>
        </w:tc>
        <w:tc>
          <w:tcPr/>
          <w:p>
            <w:pPr>
              <w:pStyle w:val="Compact"/>
              <w:jc w:val="left"/>
            </w:pPr>
            <w:r>
              <w:t xml:space="preserve">Subject</w:t>
            </w:r>
          </w:p>
        </w:tc>
        <w:tc>
          <w:tcPr/>
          <w:p>
            <w:pPr>
              <w:pStyle w:val="Compact"/>
              <w:jc w:val="left"/>
            </w:pPr>
            <w:r>
              <w:t xml:space="preserve">30</w:t>
            </w:r>
          </w:p>
        </w:tc>
        <w:tc>
          <w:tcPr/>
          <w:p>
            <w:pPr>
              <w:pStyle w:val="Compact"/>
              <w:jc w:val="left"/>
            </w:pPr>
            <w:r>
              <w:t xml:space="preserve">10,299</w:t>
            </w:r>
          </w:p>
        </w:tc>
        <w:tc>
          <w:tcPr/>
          <w:p>
            <w:pPr>
              <w:pStyle w:val="Compact"/>
              <w:jc w:val="left"/>
            </w:pPr>
            <w:r>
              <w:t xml:space="preserve">MLP, random forest</w:t>
            </w:r>
          </w:p>
        </w:tc>
        <w:tc>
          <w:tcPr/>
          <w:p>
            <w:pPr>
              <w:pStyle w:val="Compact"/>
              <w:jc w:val="left"/>
            </w:pPr>
            <w:r>
              <w:t xml:space="preserve">100*</w:t>
            </w:r>
          </w:p>
        </w:tc>
      </w:tr>
    </w:tbl>
    <w:p>
      <w:pPr>
        <w:pStyle w:val="BodyText"/>
      </w:pPr>
      <w:r>
        <w:t xml:space="preserve">* HAR needs no retraining: the perceptron runs a fixed number of iterations and the forest has no early stopping, so no held-out subject ever influenced a training decision and the original runs already satisfy the clean protocol.</w:t>
      </w:r>
    </w:p>
    <w:p>
      <w:pPr>
        <w:pStyle w:val="BodyText"/>
      </w:pPr>
      <w:r>
        <w:rPr>
          <w:bCs/>
          <w:b/>
        </w:rPr>
        <w:t xml:space="preserve">Partitioning by unit lowers the reported figure by 3.7–55.8%.</w:t>
      </w:r>
      <w:r>
        <w:t xml:space="preserve"> </w:t>
      </w:r>
      <w:r>
        <w:t xml:space="preserve">Across the twelve dataset–model combinations the drop from item-level to unit-level partitioning is 39.3–55.8% on durian, 22.5–29.1% on wheat, 8.1–9.2% on histopathology and 3.7–4.5% on activity recognition (Fig. 1; Supplementary Table 2). Across datasets it spans an order of magnitude and follows the coefficient of variation across units, not their standard deviation. Within a dataset it is similar across capacities of one family but not across families. On durian the five one-stage detectors overstate by 47.8–55.8% while the two-stage Faster R-CNN overstates by 39.3%. The difference is not an artefact of the ratio’s denominator: in absolute terms the one-stage detectors lose 20.5–27.8 points of mAP50 and Faster R-CNN 14.4, because its item-level figure is the lowest of the six (0.366 against 0.428–0.499) while its unit-level figure sits in the middle of the pack (0.222 against 0.214–0.236). One reading is that the gap tracks how much a model can exploit the near-duplication inside a cluster; with one two-stage detector against five one-stage ones on a single corpus, that reading is a hypothesis the data are consistent with, not a result.</w:t>
      </w:r>
    </w:p>
    <w:p>
      <w:pPr>
        <w:pStyle w:val="BodyText"/>
      </w:pPr>
      <w:r>
        <w:t xml:space="preserve">Near the ceiling the percentage understates the effect. On histopathology the error rate rises from 4.73% to 12.41%, on activity recognition 4.2-fold. The dispersion moves further than the mean. On the two datasets where both regimes are five-fold, the standard deviation across folds under unit-level partitioning is 40 times the item-level value on wheat and 7.6 times on histopathology; on durian the item-level regime is a single 80/20 split with no across-fold dispersion to compare, which is itself the point.</w:t>
      </w:r>
    </w:p>
    <w:p>
      <w:pPr>
        <w:pStyle w:val="BodyText"/>
      </w:pPr>
      <w:r>
        <w:rPr>
          <w:bCs/>
          <w:b/>
        </w:rPr>
        <w:t xml:space="preserve">Scored one unit at a time, every dataset shows wide variation.</w:t>
      </w:r>
      <w:r>
        <w:t xml:space="preserve"> </w:t>
      </w:r>
      <w:r>
        <w:t xml:space="preserve">Each unit was scored with the fold that withheld it from training (Fig. 1; Supplementary Table 8). Averaged over the models of each dataset, the eight durian farms run from 0.094 to 0.356; the 47 wheat sessions from 0.085 to 0.803, the best 9.5 times the worst; the 81 patients from 0.053 to 1.000; the 30 subjects from 0.750 to 0.999 in macro F1, the best misclassifying one window in 635 and the worst one in five.</w:t>
      </w:r>
    </w:p>
    <w:p>
      <w:pPr>
        <w:pStyle w:val="BodyText"/>
      </w:pPr>
      <w:r>
        <w:t xml:space="preserve">Part of any per-unit range is measurement noise on a small unit, and the unit boundary matters too (Supplementary Table 3). On the two classification datasets the per-unit score is a proportion — top-1 accuracy on patients, accuracy rather than macro F1 on subjects — so a sampling variance can be written down, but only under an assumption about the dependence between items inside a unit. Under independence it is 1.7–3.2% of the between-unit variance on patients and 5.5–5.9% on subjects; a second estimate from five independently seeded repeats gives 0.1–3.2% but captures training randomness rather than within-unit sampling. Neither is an upper bound, because items inside a unit are not independent. An intraclass correlation ρ inflates the sampling variance by the design effect 1 + (m − 1)ρ, and the conclusion that most of the spread is heterogeneity survives only for small ρ — below 0.33 on patients, whose units hold 20–246 images, and below 0.025 on subjects, whose units hold roughly 350 windows (Supplementary Table 15). We have no direct estimate of ρ, so the statement is conditional, and the patient result tolerates far more dependence than the subject result. On the two detection datasets average precision is not a proportion and the same decomposition is unavailable; there we vary the minimum unit size instead, and the dispersion survives (Supplementary Table 13).</w:t>
      </w:r>
    </w:p>
    <w:p>
      <w:pPr>
        <w:pStyle w:val="BodyText"/>
      </w:pPr>
      <w:r>
        <w:rPr>
          <w:bCs/>
          <w:b/>
        </w:rPr>
        <w:t xml:space="preserve">Which unit is scored, against which model.</w:t>
      </w:r>
      <w:r>
        <w:t xml:space="preserve"> </w:t>
      </w:r>
      <w:r>
        <w:t xml:space="preserve">Each model was trained on every fold with every seed of its own schedule, so the variance of the reported figure can be decomposed (Fig. 2; Supplementary Table 5). The durian decomposition uses the five models with five seeds each, so that design is balanced; Faster R-CNN enters the model comparison but not the decomposition. On durian, where a fold is a single farm, the withheld farm accounts for 82.4% of the variance across five models against 0.0% for the architecture, 7.8% for their interaction and 9.8% for the seed. On the three datasets where a fold contains several units, a hierarchical decomposition separates which units were withheld from training from which of them a score is computed on. The unit-within-fold component is 88.1% on histopathology, 73.3% on activity recognition and 68.0% on wheat, against 0.0–2.7% for the model and 1.9–13.3% for the fold (Supplementary Table 14).</w:t>
      </w:r>
    </w:p>
    <w:p>
      <w:pPr>
        <w:pStyle w:val="BodyText"/>
      </w:pPr>
      <w:r>
        <w:t xml:space="preserve">These point estimates carry substantial uncertainty, and the interval depends on what is resampled. Resampling units gives 90% intervals of 44–75%, 75–89% and 45–79% for the unit component against 0–1.5%, 0–0.2% and 0.5–8.1% for the model. Resampling folds changes the training partition but offers only five exchangeable objects with overlapping training sets. Neither is complete: unit resampling holds the partition fixed, fold resampling has too few objects, and the uncertainty from repartitioning and retraining is not estimated here. What survives both is that the unit component’s lower bound exceeds the model component’s upper bound on every dataset — though on activity recognition it no longer clearly exceeds the fold component’s upper bound (45% against 43%).</w:t>
      </w:r>
    </w:p>
    <w:p>
      <w:pPr>
        <w:pStyle w:val="BodyText"/>
      </w:pPr>
      <w:r>
        <w:t xml:space="preserve">The model component depends on which models are compared, and the rosters are narrow on two datasets. Three checks bound how much that matters (Supplementary Table 14). Treating the model as a fixed rather than a random effect, which drops the assumption that the architectures sample a population, changes the durian shares by at most one point. Across all 57 subsets of the six durian configurations, the unit share runs from 70 to 93% and the model share never exceeds 1.1%; subsets confined to one architecture family give a mean unit share of 90%, subsets spanning three families 77%. More heterogeneous rosters lower the unit share, as expected, but three families still leave three quarters of the variance with the unit. The share under architectures not trained here is not established.</w:t>
      </w:r>
    </w:p>
    <w:p>
      <w:pPr>
        <w:pStyle w:val="BodyText"/>
      </w:pPr>
      <w:r>
        <w:t xml:space="preserve">Two further controls: on a single durian class the unit shares are 84.9% and 97.9% with model shares of 0.0% and 0.2%; within each histopathology label the unit component is 69.5% among 24 benign and 82.4% among 57 malignant patients.</w:t>
      </w:r>
    </w:p>
    <w:p>
      <w:pPr>
        <w:pStyle w:val="BodyText"/>
      </w:pPr>
      <w:r>
        <w:t xml:space="preserve">Which unit is hard is largely a property of the unit. Across the six durian detectors the farms rank almost identically (mean pairwise Spearman ρ = 0.87) and all six place the same two farms last (Supplementary Table 10).</w:t>
      </w:r>
    </w:p>
    <w:p>
      <w:pPr>
        <w:pStyle w:val="BodyText"/>
      </w:pPr>
      <w:r>
        <w:rPr>
          <w:bCs/>
          <w:b/>
        </w:rPr>
        <w:t xml:space="preserve">When does the evaluation sample change which model wins?</w:t>
      </w:r>
      <w:r>
        <w:t xml:space="preserve"> </w:t>
      </w:r>
      <w:r>
        <w:t xml:space="preserve">A large unit component does not by itself make model comparisons unreliable. If one model beats another by the same margin on every unit, the unit effect can be arbitrarily large and the comparison still stable. What matters is the difference between two models</w:t>
      </w:r>
      <w:r>
        <w:t xml:space="preserve"> </w:t>
      </w:r>
      <w:r>
        <w:rPr>
          <w:iCs/>
          <w:i/>
        </w:rPr>
        <w:t xml:space="preserve">on the same unit</w:t>
      </w:r>
      <w:r>
        <w:t xml:space="preserve">, and how much that difference varies across units.</w:t>
      </w:r>
    </w:p>
    <w:p>
      <w:pPr>
        <w:pStyle w:val="BodyText"/>
      </w:pPr>
      <w:r>
        <w:t xml:space="preserve">Bootstrapping units and taking the 90% interval of the mean paired difference asks that directly, without a distributional assumption or extrapolation beyond the corpus.</w:t>
      </w:r>
      <w:r>
        <w:t xml:space="preserve"> </w:t>
      </w:r>
      <w:r>
        <w:rPr>
          <w:bCs/>
          <w:b/>
        </w:rPr>
        <w:t xml:space="preserve">Four of the eighteen pairs have an interval that excludes zero</w:t>
      </w:r>
      <w:r>
        <w:t xml:space="preserve"> </w:t>
      </w:r>
      <w:r>
        <w:t xml:space="preserve">(Fig. 4; Supplementary Table 16): two durian capacity comparisons, the perceptron against the random forest, and the two histopathology classifiers. The other fourteen are not resolved by the units available, among them every cross-family comparison on the image datasets and the two wheat detectors, whose difference of 0.018 mAP50 carries an interval from −0.037 to +0.003.</w:t>
      </w:r>
    </w:p>
    <w:p>
      <w:pPr>
        <w:pStyle w:val="BodyText"/>
      </w:pPr>
      <w:r>
        <w:t xml:space="preserve">The same difference as a standardised effect,</w:t>
      </w:r>
      <w:r>
        <w:t xml:space="preserve"> </w:t>
      </w:r>
      <w:r>
        <w:rPr>
          <w:iCs/>
          <w:i/>
        </w:rPr>
        <w:t xml:space="preserve">d</w:t>
      </w:r>
      <w:r>
        <w:t xml:space="preserve">, spans 0.02 to 0.84. Inverting</w:t>
      </w:r>
      <w:r>
        <w:t xml:space="preserve"> </w:t>
      </w:r>
      <w:r>
        <w:rPr>
          <w:iCs/>
          <w:i/>
        </w:rPr>
        <w:t xml:space="preserve">d</w:t>
      </w:r>
      <w:r>
        <w:t xml:space="preserve"> </w:t>
      </w:r>
      <w:r>
        <w:t xml:space="preserve">into a required unit count squares the reciprocal of a quantity estimated from as few as eight units: for the wheat detectors</w:t>
      </w:r>
      <w:r>
        <w:t xml:space="preserve"> </w:t>
      </w:r>
      <w:r>
        <w:rPr>
          <w:iCs/>
          <w:i/>
        </w:rPr>
        <w:t xml:space="preserve">d</w:t>
      </w:r>
      <w:r>
        <w:t xml:space="preserve"> </w:t>
      </w:r>
      <w:r>
        <w:t xml:space="preserve">= 0.21 with an interval of 0.03 to 0.58, and the implied counts span 9 to 3,948. We report</w:t>
      </w:r>
      <w:r>
        <w:t xml:space="preserve"> </w:t>
      </w:r>
      <w:r>
        <w:rPr>
          <w:iCs/>
          <w:i/>
        </w:rPr>
        <w:t xml:space="preserve">d</w:t>
      </w:r>
      <w:r>
        <w:t xml:space="preserve"> </w:t>
      </w:r>
      <w:r>
        <w:t xml:space="preserve">with its interval and do not convert it.</w:t>
      </w:r>
    </w:p>
    <w:p>
      <w:pPr>
        <w:pStyle w:val="BodyText"/>
      </w:pPr>
      <w:r>
        <w:t xml:space="preserve">The architecture family predicts neither outcome. Cross-family pairs span</w:t>
      </w:r>
      <w:r>
        <w:t xml:space="preserve"> </w:t>
      </w:r>
      <w:r>
        <w:rPr>
          <w:iCs/>
          <w:i/>
        </w:rPr>
        <w:t xml:space="preserve">d</w:t>
      </w:r>
      <w:r>
        <w:t xml:space="preserve"> </w:t>
      </w:r>
      <w:r>
        <w:t xml:space="preserve">= 0.02–0.52 and same-family pairs 0.15–0.84, distributions that overlap almost completely, and the only resolved pair spanning two families is the perceptron against the random forest, the one comparison in the study between models that share nothing but their inputs. Under the contaminated protocol the picture differed: the two cross-family durian pairs reached</w:t>
      </w:r>
      <w:r>
        <w:t xml:space="preserve"> </w:t>
      </w:r>
      <w:r>
        <w:rPr>
          <w:iCs/>
          <w:i/>
        </w:rPr>
        <w:t xml:space="preserve">d</w:t>
      </w:r>
      <w:r>
        <w:t xml:space="preserve"> </w:t>
      </w:r>
      <w:r>
        <w:t xml:space="preserve">= 0.87 and 0.95 there against 0.11 and 0.25 here, and on wheat the ranking of the two detectors reverses outright between protocols. What looked like an architecture effect was substantially the withheld unit selecting the checkpoint.</w:t>
      </w:r>
    </w:p>
    <w:p>
      <w:pPr>
        <w:pStyle w:val="BodyText"/>
      </w:pPr>
      <w:r>
        <w:rPr>
          <w:bCs/>
          <w:b/>
        </w:rPr>
        <w:t xml:space="preserve">How far a figure moves when the evaluation units change.</w:t>
      </w:r>
      <w:r>
        <w:t xml:space="preserve"> </w:t>
      </w:r>
      <w:r>
        <w:t xml:space="preserve">Drawing</w:t>
      </w:r>
      <w:r>
        <w:t xml:space="preserve"> </w:t>
      </w:r>
      <w:r>
        <w:rPr>
          <w:iCs/>
          <w:i/>
        </w:rPr>
        <w:t xml:space="preserve">k</w:t>
      </w:r>
      <w:r>
        <w:t xml:space="preserve"> </w:t>
      </w:r>
      <w:r>
        <w:t xml:space="preserve">units without replacement from each pool and recomputing the equal-weight aggregate, the central 90% range of subset scores narrows from 0.263 at</w:t>
      </w:r>
      <w:r>
        <w:t xml:space="preserve"> </w:t>
      </w:r>
      <w:r>
        <w:rPr>
          <w:iCs/>
          <w:i/>
        </w:rPr>
        <w:t xml:space="preserve">k</w:t>
      </w:r>
      <w:r>
        <w:t xml:space="preserve"> </w:t>
      </w:r>
      <w:r>
        <w:t xml:space="preserve">= 1 to 0.107 at</w:t>
      </w:r>
      <w:r>
        <w:t xml:space="preserve"> </w:t>
      </w:r>
      <w:r>
        <w:rPr>
          <w:iCs/>
          <w:i/>
        </w:rPr>
        <w:t xml:space="preserve">k</w:t>
      </w:r>
      <w:r>
        <w:t xml:space="preserve"> </w:t>
      </w:r>
      <w:r>
        <w:t xml:space="preserve">= 4 on eight farms, from 0.457 to 0.102 at</w:t>
      </w:r>
      <w:r>
        <w:t xml:space="preserve"> </w:t>
      </w:r>
      <w:r>
        <w:rPr>
          <w:iCs/>
          <w:i/>
        </w:rPr>
        <w:t xml:space="preserve">k</w:t>
      </w:r>
      <w:r>
        <w:t xml:space="preserve"> </w:t>
      </w:r>
      <w:r>
        <w:t xml:space="preserve">= 16 on sessions, from 0.663 to 0.161 on patients and from 0.127 to 0.028 on subjects, while the mean is flat throughout (Supplementary Table 9). This is variation within the observed pool, not a confidence interval for a new farm or patient. Sampling without replacement drives the range to zero once the pool is exhausted, so it bounds how much the reported figure would have moved had a different subset been reported, and no more. Read that narrowly it is still large. A wheat figure computed on the nine or ten sessions a five-fold design leaves sits in a range about 0.16 wide, a third of the figure itself.</w:t>
      </w:r>
    </w:p>
    <w:p>
      <w:pPr>
        <w:pStyle w:val="BodyText"/>
      </w:pPr>
      <w:r>
        <w:t xml:space="preserve">Training-unit count and evaluation-unit count are different quantities and only the second is settled here. Increasing the number of evaluation units cannot change the expected score by construction; it changes only the precision (Fig. 3). Whether increasing the number of</w:t>
      </w:r>
      <w:r>
        <w:t xml:space="preserve"> </w:t>
      </w:r>
      <w:r>
        <w:rPr>
          <w:iCs/>
          <w:i/>
        </w:rPr>
        <w:t xml:space="preserve">training</w:t>
      </w:r>
      <w:r>
        <w:t xml:space="preserve"> </w:t>
      </w:r>
      <w:r>
        <w:t xml:space="preserve">units raises the expected score is a separate question, and the experiment addressing it predates the retraining. Its trends are reported in Supplementary Table 7 as preliminary, because the protocol effect need not be constant across unit counts and because draws that could not reach the item budget were skipped. Neither count is visible in a single reported number.</w:t>
      </w:r>
    </w:p>
    <w:p>
      <w:pPr>
        <w:pStyle w:val="BodyText"/>
      </w:pPr>
      <w:r>
        <w:rPr>
          <w:bCs/>
          <w:b/>
        </w:rPr>
        <w:t xml:space="preserve">What the contaminated protocol hid.</w:t>
      </w:r>
      <w:r>
        <w:t xml:space="preserve"> </w:t>
      </w:r>
      <w:r>
        <w:t xml:space="preserve">Under leave-one-unit-out the fold’s validation set is the withheld unit, which is scored every epoch, triggers early stopping, and selects the weights. Re-running every image model with the inner validation set drawn only from training units raises the measured overstatement by 0.1 to 14.7 points, 6.5 on average (Fig. 5; Supplementary Table 6). The clean figure falls between the contaminated protocol’s best-epoch and final-epoch values in all seven combinations where both are available, which is what the earlier measurement of the bias predicted.</w:t>
      </w:r>
    </w:p>
    <w:p>
      <w:pPr>
        <w:pStyle w:val="BodyText"/>
      </w:pPr>
      <w:r>
        <w:t xml:space="preserve">Two signatures fit the mechanism. Under the clean protocol the choice of epoch almost stops mattering — withholding best-epoch selection moves the unit-level figure by −1.1 to 1.6 points, against 2.5 to 9.5 under the contaminated one — and the worst units move most: the lowest-scoring wheat session falls from 0.190 to 0.071, because selecting the best epoch on a unit rescues the unit the model handles worst.</w:t>
      </w:r>
    </w:p>
    <w:p>
      <w:pPr>
        <w:pStyle w:val="BodyText"/>
      </w:pPr>
      <w:r>
        <w:rPr>
          <w:bCs/>
          <w:b/>
        </w:rPr>
        <w:t xml:space="preserve">Two negative results.</w:t>
      </w:r>
      <w:r>
        <w:t xml:space="preserve"> </w:t>
      </w:r>
      <w:r>
        <w:t xml:space="preserve">Distance is not the operative variable: the Sabah orchards, 1,765–1,872 km away and never seen in training, score 0.253–0.281 under the five detectors against 0.214–0.236 for the mean withheld peninsular farm, so crossing to another island costs about what withholding a neighbouring farm costs (Supplementary Table 12). And nothing recorded at acquisition anticipates which farm will score low — of eight per-farm covariates only median capture hour reaches |r| &gt; 0.5, and it rests on a single site (Supplementary Table 11). An earlier five-farm analysis found lesion size correlated with fold score at</w:t>
      </w:r>
      <w:r>
        <w:t xml:space="preserve"> </w:t>
      </w:r>
      <w:r>
        <w:rPr>
          <w:iCs/>
          <w:i/>
        </w:rPr>
        <w:t xml:space="preserve">r</w:t>
      </w:r>
      <w:r>
        <w:t xml:space="preserve"> </w:t>
      </w:r>
      <w:r>
        <w:t xml:space="preserve">= +0.54; on eight farms</w:t>
      </w:r>
      <w:r>
        <w:t xml:space="preserve"> </w:t>
      </w:r>
      <w:r>
        <w:rPr>
          <w:iCs/>
          <w:i/>
        </w:rPr>
        <w:t xml:space="preserve">r</w:t>
      </w:r>
      <w:r>
        <w:t xml:space="preserve"> </w:t>
      </w:r>
      <w:r>
        <w:t xml:space="preserve">= +0.29 and for a second class the sign reverses, so that claim is withdrawn. The model’s own confidence is informative on patients (</w:t>
      </w:r>
      <w:r>
        <w:rPr>
          <w:iCs/>
          <w:i/>
        </w:rPr>
        <w:t xml:space="preserve">r</w:t>
      </w:r>
      <w:r>
        <w:t xml:space="preserve"> </w:t>
      </w:r>
      <w:r>
        <w:t xml:space="preserve">= +0.57) and not on farms (+0.09), in the order of how much the units differ (Supplementary Table 17).</w:t>
      </w:r>
    </w:p>
    <w:p>
      <w:pPr>
        <w:pStyle w:val="BodyText"/>
      </w:pPr>
      <w:r>
        <w:rPr>
          <w:bCs/>
          <w:b/>
        </w:rPr>
        <w:t xml:space="preserve">Provenance audit of our own corpus.</w:t>
      </w:r>
      <w:r>
        <w:t xml:space="preserve"> </w:t>
      </w:r>
      <w:r>
        <w:t xml:space="preserve">A benchmark built for this question has to guarantee its unit labels, and that cannot rest on the metadata pipeline alone. Farm identity was originally joined by filename; two field visits produced overlapping camera counters whose disambiguating suffixes a resize step dropped. Matching every annotated image back to its original by perceptual hash found that 50 of the earlier 560-image pool (8.9%) carried another photograph’s metadata, 49 labelled farm 0 and taken at farm 6. The fold withholding farm 0 had trained on farm 6, so 29.7% of its held-out set came from a farm the model had seen, and it scored highest of the five. Separately, a claim that lesion size differs 75-fold between farms was true of per-farm medians and false of the images, because an ultra-wide lens present at every farm enlarges annotated boxes up to four-fold within one farm (Supplementary Table 4). Neither was visible in the pooled figure, the fold table or the covariates; both were found only because the originals had been kept (Supplementary Notes 1, 2).</w:t>
      </w:r>
    </w:p>
    <w:bookmarkEnd w:id="21"/>
    <w:bookmarkStart w:id="22" w:name="discussion"/>
    <w:p>
      <w:pPr>
        <w:pStyle w:val="Heading2"/>
      </w:pPr>
      <w:r>
        <w:t xml:space="preserve">Discussion</w:t>
      </w:r>
    </w:p>
    <w:p>
      <w:pPr>
        <w:pStyle w:val="FirstParagraph"/>
      </w:pPr>
      <w:r>
        <w:t xml:space="preserve">Four claims follow. Item-level splitting of clustered data overstates the reported figure by an amount that is a property of the corpus, 3.7–55.8% here, similar across capacities of one architecture family (47.8–55.8% for five one-stage durian detectors) and lower for the one two-stage detector tested (39.3%). The corrected figure is not stable either. Scored one unit at a time, every dataset shows wide variation that the aggregate reports as one number in the middle, and on the two datasets where a sampling variance can be written down it is dominated by real heterogeneity unless the within-unit correlation exceeds 0.33 on patients or 0.025 on subjects. Which unit a score is computed on accounts for most of the variance on every dataset, with bootstrap lower bounds of 44–75% against model upper bounds below 8%. And that does not unsettle model comparisons indiscriminately — it unsettles the small ones, which is most of them. Across eighteen pairs the standardised paired difference runs from 0.02 to 0.84, and bootstrapping units leaves the implied unit requirement uncertain over three to four orders of magnitude on every pair, so these corpora cannot say how many units a given comparison would need. A protocol in which the withheld unit selects the checkpoint makes several of these differences appear larger than they are.</w:t>
      </w:r>
    </w:p>
    <w:p>
      <w:pPr>
        <w:pStyle w:val="BodyText"/>
      </w:pPr>
      <w:r>
        <w:t xml:space="preserve">Each is a statement about what a held-out number estimates. A pooled, instance-weighted score estimates performance for a random</w:t>
      </w:r>
      <w:r>
        <w:t xml:space="preserve"> </w:t>
      </w:r>
      <w:r>
        <w:rPr>
          <w:iCs/>
          <w:i/>
        </w:rPr>
        <w:t xml:space="preserve">item</w:t>
      </w:r>
      <w:r>
        <w:t xml:space="preserve"> </w:t>
      </w:r>
      <w:r>
        <w:t xml:space="preserve">from the units collected, while deployment asks about a random</w:t>
      </w:r>
      <w:r>
        <w:t xml:space="preserve"> </w:t>
      </w:r>
      <w:r>
        <w:rPr>
          <w:iCs/>
          <w:i/>
        </w:rPr>
        <w:t xml:space="preserve">unit</w:t>
      </w:r>
      <w:r>
        <w:t xml:space="preserve">; the two differ by up to 0.028 here, so the weighting is not the main issue, but they are different estimands and leaderboards report the first. The clustered-data statistics describing this are not new [26–29]. What these measurements add is the magnitude in computational-science practice, and a specific consequence: at the unit counts current benchmarks use, most model comparisons in this study do not survive a change of evaluation sample.</w:t>
      </w:r>
    </w:p>
    <w:p>
      <w:pPr>
        <w:pStyle w:val="BodyText"/>
      </w:pPr>
      <w:r>
        <w:t xml:space="preserve">Why the magnitude has not been reported is partly a matter of what datasets permit: a grouped split needs a unit identifier, and of fourteen public crop-disease datasets surveyed [1,2,13–16,25], one releases one at a granularity that permits grouping (Supplementary Table 1). Recording provenance is necessary but not sufficient — we recorded location and time for every original, joined by filename, and put 8.9% of the pool under the wrong farm.</w:t>
      </w:r>
    </w:p>
    <w:p>
      <w:pPr>
        <w:pStyle w:val="BodyText"/>
      </w:pPr>
      <w:r>
        <w:t xml:space="preserve">The results are bounded in several ways, listed in full in Supplementary Note 4. The durian folds are not eight measurements of one quantity, because class composition differs so sharply between farms that five return no figure for one class, and eight units give the resampling analyses little room. Twenty per cent of the annotated peninsular set is excluded for want of a content match, and not at random. The inner validation set is drawn at item level on durian and wheat and at patient level on histopathology, which makes the histopathology protocol stricter than the other two. And all results are offline.</w:t>
      </w:r>
    </w:p>
    <w:p>
      <w:pPr>
        <w:pStyle w:val="BodyText"/>
      </w:pPr>
      <w:r>
        <w:t xml:space="preserve">The practical consequence is a reporting convention, not a method. Four things should accompany any aggregate score on clustered data: how many independent units contributed to training, how many the evaluation rests on, the dispersion across them, and whether units or items are weighted. All four can be reported wherever unit identifiers and per-unit predictions are retained, and Supplementary Note 3 states them as a checklist. We release</w:t>
      </w:r>
      <w:r>
        <w:t xml:space="preserve"> </w:t>
      </w:r>
      <w:r>
        <w:rPr>
          <w:rStyle w:val="VerbatimChar"/>
        </w:rPr>
        <w:t xml:space="preserve">unitcheck</w:t>
      </w:r>
      <w:r>
        <w:t xml:space="preserve">, which computes them from a table of item-to-unit assignments and, where available, per-unit scores; it reads neither images nor weights, and answers the prior question — whether any unit straddles the split boundary — before a model is trained. Under the item-level protocols used here that question returns every unit straddling, on all four datasets.</w:t>
      </w:r>
    </w:p>
    <w:bookmarkEnd w:id="22"/>
    <w:bookmarkStart w:id="25" w:name="methods"/>
    <w:p>
      <w:pPr>
        <w:pStyle w:val="Heading2"/>
      </w:pPr>
      <w:r>
        <w:t xml:space="preserve">Methods</w:t>
      </w:r>
    </w:p>
    <w:p>
      <w:pPr>
        <w:pStyle w:val="FirstParagraph"/>
      </w:pPr>
      <w:r>
        <w:rPr>
          <w:bCs/>
          <w:b/>
        </w:rPr>
        <w:t xml:space="preserve">Datasets and units.</w:t>
      </w:r>
      <w:r>
        <w:t xml:space="preserve"> </w:t>
      </w:r>
      <w:r>
        <w:rPr>
          <w:iCs/>
          <w:i/>
        </w:rPr>
        <w:t xml:space="preserve">Durian.</w:t>
      </w:r>
      <w:r>
        <w:t xml:space="preserve"> </w:t>
      </w:r>
      <w:r>
        <w:t xml:space="preserve">Photographs were taken at farms in Selangor, Negeri Sembilan and the Muar district of Johor between December 2025 and July 2026, and at two orchards near Lahad Datu, Sabah, on 13–16 August 2026 — two states, three regions, nine peninsular sites of which eight hold at least 20 annotated images, plus one Bornean trip. Peninsular farms lie within 134 km of one another and are separate commercial operations under different managers, visited across eight months; the Sabah orchards are 1,765–1,872 km away and comprise a 20-acre mature planting under a single manager and a separate 9-acre planting. Independence of the units is therefore a property of how the corpus was collected, not of how it was partitioned. All images were captured hand-held under natural light by one person, primarily on an iPhone 16 Pro Max; an iPhone 13 Pro was used at three farms and did not record location, so those farms’ images were attributed by capture-time proximity. Six focal lengths occur (2.22–15.66 mm) and every farm mixes at least two. Images were resized to 640 × 640 and are released at that resolution. Annotation is lesion-level, calibrated in the field with a crop-protection practitioner of several decades’ regional experience, outsourced per class against that standard and reviewed image by image by the author; six classes were retained, with merges and splits constrained by registered-product mode-of-action groups and by the taxonomy of the causal genera [17,18,24] (Supplementary Note 1). Agreement between annotators was not measured and the standard was calibrated in the field rather than written down, so what is released is its output rather than the standard itself. The same reviewer passed over every image, so the standard applied was constant across farms; whether the bias it carries is constant is a different question, since it could interact with the class composition that differs between farms, and it was not measured.</w:t>
      </w:r>
      <w:r>
        <w:t xml:space="preserve"> </w:t>
      </w:r>
      <w:r>
        <w:rPr>
          <w:iCs/>
          <w:i/>
        </w:rPr>
        <w:t xml:space="preserve">GWHD 2021</w:t>
      </w:r>
      <w:r>
        <w:t xml:space="preserve"> </w:t>
      </w:r>
      <w:r>
        <w:t xml:space="preserve">[4] was decoded to 6,512 images with acquisition domain and converted to single-class labels; 547 sub-pixel boxes and one byte-identical pair with inconsistent annotation were removed, leaving 6,510 images across 47 domains.</w:t>
      </w:r>
      <w:r>
        <w:t xml:space="preserve"> </w:t>
      </w:r>
      <w:r>
        <w:rPr>
          <w:iCs/>
          <w:i/>
        </w:rPr>
        <w:t xml:space="preserve">BreaKHis</w:t>
      </w:r>
      <w:r>
        <w:t xml:space="preserve"> </w:t>
      </w:r>
      <w:r>
        <w:t xml:space="preserve">[23] was parsed from its directory structure: 7,909 images, 81 distinct patient identifiers against the 82 the original description reports (Supplementary Note 2), binary benign/malignant, no duplicates by content hash, no patient with both labels.</w:t>
      </w:r>
      <w:r>
        <w:t xml:space="preserve"> </w:t>
      </w:r>
      <w:r>
        <w:rPr>
          <w:iCs/>
          <w:i/>
        </w:rPr>
        <w:t xml:space="preserve">UCI HAR</w:t>
      </w:r>
      <w:r>
        <w:t xml:space="preserve"> </w:t>
      </w:r>
      <w:r>
        <w:t xml:space="preserve">[22]: 10,299 windows, 30 subjects, 561 engineered features, six activities; five-fold partitions were constructed for comparability with the other datasets.</w:t>
      </w:r>
    </w:p>
    <w:p>
      <w:pPr>
        <w:pStyle w:val="BodyText"/>
      </w:pPr>
      <w:r>
        <w:rPr>
          <w:bCs/>
          <w:b/>
        </w:rPr>
        <w:t xml:space="preserve">Farm attribution by image content.</w:t>
      </w:r>
      <w:r>
        <w:t xml:space="preserve"> </w:t>
      </w:r>
      <w:r>
        <w:t xml:space="preserve">Farm identity for the originals was recovered from EXIF location by single-link clustering at 1.5 km; originals without location were attributed by capture-time proximity, accepted only where the nearest located image of the same day was within 30 minutes (1,662 by location, 278 by timing, of 2,038). Each annotated image was then matched to the originals by a 64-bit difference hash and takes the farm of its nearest original, accepted only when no original from a different farm lies within three bits. On the 570 images whose filenames still matched an original, the hash recovered it with a median Hamming distance of 0. The procedure attributed 829 of 1,033 images and recovered 303 whose filenames the annotation platform had replaced. The 204 not attributed over-represent one class (56% of boxes against 41%) and under-represent another (4% against 17%).</w:t>
      </w:r>
    </w:p>
    <w:p>
      <w:pPr>
        <w:pStyle w:val="BodyText"/>
      </w:pPr>
      <w:r>
        <w:rPr>
          <w:bCs/>
          <w:b/>
        </w:rPr>
        <w:t xml:space="preserve">The evaluation protocol.</w:t>
      </w:r>
      <w:r>
        <w:t xml:space="preserve"> </w:t>
      </w:r>
      <w:r>
        <w:t xml:space="preserve">For each dataset, two regimes over an identical pool.</w:t>
      </w:r>
      <w:r>
        <w:t xml:space="preserve"> </w:t>
      </w:r>
      <w:r>
        <w:rPr>
          <w:iCs/>
          <w:i/>
        </w:rPr>
        <w:t xml:space="preserve">Item-level</w:t>
      </w:r>
      <w:r>
        <w:t xml:space="preserve">: stratified random partitioning ignoring unit identity.</w:t>
      </w:r>
      <w:r>
        <w:t xml:space="preserve"> </w:t>
      </w:r>
      <w:r>
        <w:rPr>
          <w:iCs/>
          <w:i/>
        </w:rPr>
        <w:t xml:space="preserve">Unit-level</w:t>
      </w:r>
      <w:r>
        <w:t xml:space="preserve">: leave-one-unit-out on durian (eight folds), otherwise unit-disjoint five-fold assembled by greedy bin-packing on item count. Absence of any held-out unit from its training set is asserted by the split scripts and re-checked by the verification script.</w:t>
      </w:r>
    </w:p>
    <w:p>
      <w:pPr>
        <w:pStyle w:val="BodyText"/>
      </w:pPr>
      <w:r>
        <w:t xml:space="preserve">The withheld units enter no training decision. For every fold in both regimes, an inner validation set is drawn from the fold’s</w:t>
      </w:r>
      <w:r>
        <w:t xml:space="preserve"> </w:t>
      </w:r>
      <w:r>
        <w:rPr>
          <w:iCs/>
          <w:i/>
        </w:rPr>
        <w:t xml:space="preserve">training</w:t>
      </w:r>
      <w:r>
        <w:t xml:space="preserve"> </w:t>
      </w:r>
      <w:r>
        <w:t xml:space="preserve">data only; early stopping and checkpoint selection use that inner set, and the outer units are scored once, after training ends. The inner fraction is 10% throughout, with a fixed seed independent of the training seed, so all training seeds see the same inner split. On durian the inner split is stratified by each image’s dominant class, because five classes are concentrated in three farms and an unstratified 10% of 595–694 images would omit a class entirely. On GWHD it is a simple random 10%. On BreaKHis it is drawn</w:t>
      </w:r>
      <w:r>
        <w:t xml:space="preserve"> </w:t>
      </w:r>
      <w:r>
        <w:rPr>
          <w:bCs/>
          <w:b/>
        </w:rPr>
        <w:t xml:space="preserve">whole patients at a time</w:t>
      </w:r>
      <w:r>
        <w:t xml:space="preserve">, holding the benign/malignant ratio, because sections from one patient are near-duplicates and an item-level inner split would give early stopping a signal that is near-perfect and meaningless; this makes the histopathology protocol stricter than the other two, and the difference is visible in its item-level figures, which fall from 0.99 to 0.95 relative to the contaminated protocol. Both regimes on a dataset use the same inner rule, so the item-versus-unit comparison is not confounded by it. The cost is 10% of the training data in every arm.</w:t>
      </w:r>
    </w:p>
    <w:p>
      <w:pPr>
        <w:pStyle w:val="BodyText"/>
      </w:pPr>
      <w:r>
        <w:rPr>
          <w:iCs/>
          <w:i/>
        </w:rPr>
        <w:t xml:space="preserve">The contaminated protocol, retained for comparison.</w:t>
      </w:r>
      <w:r>
        <w:t xml:space="preserve"> </w:t>
      </w:r>
      <w:r>
        <w:t xml:space="preserve">The earlier runs used the withheld unit as the training loop’s validation set. Those results are reported alongside as</w:t>
      </w:r>
      <w:r>
        <w:t xml:space="preserve"> </w:t>
      </w:r>
      <w:r>
        <w:rPr>
          <w:rStyle w:val="VerbatimChar"/>
        </w:rPr>
        <w:t xml:space="preserve">old_best</w:t>
      </w:r>
      <w:r>
        <w:t xml:space="preserve">, and the final-epoch weights of the same runs as</w:t>
      </w:r>
      <w:r>
        <w:t xml:space="preserve"> </w:t>
      </w:r>
      <w:r>
        <w:rPr>
          <w:rStyle w:val="VerbatimChar"/>
        </w:rPr>
        <w:t xml:space="preserve">old_last</w:t>
      </w:r>
      <w:r>
        <w:t xml:space="preserve">, which removes best-epoch selection but not early stopping. Epoch counts were read from every durian training log and released, so the 26 of 135 runs that reached the epoch cap — and therefore carry no early-stopping selection at all — can be analysed separately.</w:t>
      </w:r>
    </w:p>
    <w:p>
      <w:pPr>
        <w:pStyle w:val="BodyText"/>
      </w:pPr>
      <w:r>
        <w:rPr>
          <w:bCs/>
          <w:b/>
        </w:rPr>
        <w:t xml:space="preserve">Training.</w:t>
      </w:r>
      <w:r>
        <w:t xml:space="preserve"> </w:t>
      </w:r>
      <w:r>
        <w:t xml:space="preserve">Durian: Ultralytics YOLO11n/s/m/l [19] and RT-DETR-L [20], 640 px, 150 epochs, patience 50, five seeds, batch 32/32/16/8/24; plus Faster R-CNN R50-FPN-v2 (torchvision, COCO-pretrained, SGD with cosine annealing, 40 epochs, patience 12, batch 4, three seeds), which shares no code with Ultralytics and provides a two-stage anchor-based comparison. GWHD: YOLO11s and YOLO11n, 640 px, 150 epochs, patience 50, batch 32, three seeds. BreaKHis: YOLO11s-cls and YOLO11n-cls, 224 px, 100 epochs, patience 50, batch 256, five seeds. HAR: a single-hidden-layer perceptron (256 units, 300 iterations, features standardised on the training fold only) and a random forest (500 trees), five seeds each. HAR needs no protocol correction: the perceptron runs a fixed number of iterations and the forest has no early stopping, so no held-out subject ever influenced a training decision there. 512 clean runs in total.</w:t>
      </w:r>
    </w:p>
    <w:p>
      <w:pPr>
        <w:pStyle w:val="BodyText"/>
      </w:pPr>
      <w:r>
        <w:rPr>
          <w:bCs/>
          <w:b/>
        </w:rPr>
        <w:t xml:space="preserve">Evaluation.</w:t>
      </w:r>
      <w:r>
        <w:t xml:space="preserve"> </w:t>
      </w:r>
      <w:r>
        <w:t xml:space="preserve">Every model score comes from re-validating a saved checkpoint through one code path, with one exception noted where it arises: Faster R-CNN is scored with</w:t>
      </w:r>
      <w:r>
        <w:t xml:space="preserve"> </w:t>
      </w:r>
      <w:r>
        <w:rPr>
          <w:rStyle w:val="VerbatimChar"/>
        </w:rPr>
        <w:t xml:space="preserve">torchmetrics</w:t>
      </w:r>
      <w:r>
        <w:t xml:space="preserve">/</w:t>
      </w:r>
      <w:r>
        <w:rPr>
          <w:rStyle w:val="VerbatimChar"/>
        </w:rPr>
        <w:t xml:space="preserve">pycocotools</w:t>
      </w:r>
      <w:r>
        <w:t xml:space="preserve">, whose mAP@0.5 follows the same COCO definition as the Ultralytics metric; the two agreed on the inner validation sets to within 0.02, which is the check that they are the same quantity. mAP50 [21] is the primary detection metric; BreaKHis uses top-1 accuracy and HAR macro F1. Units with fewer than five items are excluded.</w:t>
      </w:r>
    </w:p>
    <w:p>
      <w:pPr>
        <w:pStyle w:val="BodyText"/>
      </w:pPr>
      <w:r>
        <w:rPr>
          <w:bCs/>
          <w:b/>
        </w:rPr>
        <w:t xml:space="preserve">Variance decomposition.</w:t>
      </w:r>
      <w:r>
        <w:t xml:space="preserve"> </w:t>
      </w:r>
      <w:r>
        <w:t xml:space="preserve">On durian, where a fold is one farm, components are estimated by expected mean squares for a two-factor crossed random-effects model over models × farms × seeds, using the five models with five seeds each so the design is balanced; Faster R-CNN has three seeds and enters the model comparison but not this decomposition. On the other three datasets a fold contains several units, so the crossed design would conflate which units were withheld from training with which of them is scored. There the per-unit scores are decomposed hierarchically with units nested within folds, and the fold and unit components are reported separately. Both factors are treated as random because the question is how much variability each contributes; reading the model term as a variance component assumes the levels sample a population of models, which two to five architectures do only loosely, and the decomposition is descriptive of the roster tested.</w:t>
      </w:r>
    </w:p>
    <w:p>
      <w:pPr>
        <w:pStyle w:val="BodyText"/>
      </w:pPr>
      <w:r>
        <w:rPr>
          <w:iCs/>
          <w:i/>
        </w:rPr>
        <w:t xml:space="preserve">Robustness of the decomposition.</w:t>
      </w:r>
      <w:r>
        <w:t xml:space="preserve"> </w:t>
      </w:r>
      <w:r>
        <w:t xml:space="preserve">Ninety per cent percentile bootstrap intervals were obtained by resampling units (farms on durian, folds elsewhere) 1,500 times; seeds and models are not resampled because they are not draws from a population. The model term was re-estimated as a fixed effect, which reports the share of the observed total sum of squares between the specific models tested and drops the assumption that they sample a population. On durian, where six configurations across three families are available, the decomposition was repeated for every subset of two or more configurations (57 subsets), grouped by how many families a subset spans;</w:t>
      </w:r>
      <w:r>
        <w:t xml:space="preserve"> </w:t>
      </w:r>
      <w:r>
        <w:rPr>
          <w:rStyle w:val="VerbatimChar"/>
        </w:rPr>
        <w:t xml:space="preserve">scripts/analyse/decomposition_robustness.py</w:t>
      </w:r>
      <w:r>
        <w:t xml:space="preserve">.</w:t>
      </w:r>
    </w:p>
    <w:p>
      <w:pPr>
        <w:pStyle w:val="BodyText"/>
      </w:pPr>
      <w:r>
        <w:rPr>
          <w:bCs/>
          <w:b/>
        </w:rPr>
        <w:t xml:space="preserve">Model comparisons under resampled evaluation units.</w:t>
      </w:r>
      <w:r>
        <w:t xml:space="preserve"> </w:t>
      </w:r>
      <w:r>
        <w:t xml:space="preserve">For every pair of models trained on the same folds, the difference between their scores on each unit gives a paired difference;</w:t>
      </w:r>
      <w:r>
        <w:t xml:space="preserve"> </w:t>
      </w:r>
      <w:r>
        <w:rPr>
          <w:iCs/>
          <w:i/>
        </w:rPr>
        <w:t xml:space="preserve">d</w:t>
      </w:r>
      <w:r>
        <w:t xml:space="preserve"> </w:t>
      </w:r>
      <w:r>
        <w:t xml:space="preserve">is its mean over units divided by its standard deviation over units. Drawing</w:t>
      </w:r>
      <w:r>
        <w:t xml:space="preserve"> </w:t>
      </w:r>
      <w:r>
        <w:rPr>
          <w:iCs/>
          <w:i/>
        </w:rPr>
        <w:t xml:space="preserve">k</w:t>
      </w:r>
      <w:r>
        <w:t xml:space="preserve"> </w:t>
      </w:r>
      <w:r>
        <w:t xml:space="preserve">units without replacement and recomputing both aggregates, 3,000 times, gives the frequency with which the ranking reverses relative to the full pool. Three quantities are reported and they answer different questions. The</w:t>
      </w:r>
      <w:r>
        <w:t xml:space="preserve"> </w:t>
      </w:r>
      <w:r>
        <w:rPr>
          <w:bCs/>
          <w:b/>
        </w:rPr>
        <w:t xml:space="preserve">paired-difference interval</w:t>
      </w:r>
      <w:r>
        <w:t xml:space="preserve"> </w:t>
      </w:r>
      <w:r>
        <w:t xml:space="preserve">is the primary one: units are resampled with replacement 6,000 times and the 5th-to-95th percentile of the mean paired difference is taken. It asks whether a comparison survives a different draw of units, assumes no distributional form, and does not extrapolate beyond the corpus. The</w:t>
      </w:r>
      <w:r>
        <w:t xml:space="preserve"> </w:t>
      </w:r>
      <w:r>
        <w:rPr>
          <w:bCs/>
          <w:b/>
        </w:rPr>
        <w:t xml:space="preserve">within-pool reversal rate</w:t>
      </w:r>
      <w:r>
        <w:t xml:space="preserve"> </w:t>
      </w:r>
      <w:r>
        <w:t xml:space="preserve">draws</w:t>
      </w:r>
      <w:r>
        <w:t xml:space="preserve"> </w:t>
      </w:r>
      <w:r>
        <w:rPr>
          <w:iCs/>
          <w:i/>
        </w:rPr>
        <w:t xml:space="preserve">k</w:t>
      </w:r>
      <w:r>
        <w:t xml:space="preserve"> </w:t>
      </w:r>
      <w:r>
        <w:t xml:space="preserve">units without replacement and records how often the ranking flips relative to the full pool; because the sampling is without replacement, the rate falls to zero at</w:t>
      </w:r>
      <w:r>
        <w:t xml:space="preserve"> </w:t>
      </w:r>
      <w:r>
        <w:rPr>
          <w:iCs/>
          <w:i/>
        </w:rPr>
        <w:t xml:space="preserve">k</w:t>
      </w:r>
      <w:r>
        <w:t xml:space="preserve"> </w:t>
      </w:r>
      <w:r>
        <w:t xml:space="preserve">=</w:t>
      </w:r>
      <w:r>
        <w:t xml:space="preserve"> </w:t>
      </w:r>
      <w:r>
        <w:rPr>
          <w:iCs/>
          <w:i/>
        </w:rPr>
        <w:t xml:space="preserve">N</w:t>
      </w:r>
      <w:r>
        <w:t xml:space="preserve"> </w:t>
      </w:r>
      <w:r>
        <w:t xml:space="preserve">by construction, so it describes how quickly a comparison becomes stable within its own corpus and nothing more. The</w:t>
      </w:r>
      <w:r>
        <w:t xml:space="preserve"> </w:t>
      </w:r>
      <w:r>
        <w:rPr>
          <w:bCs/>
          <w:b/>
        </w:rPr>
        <w:t xml:space="preserve">standardised effect</w:t>
      </w:r>
      <w:r>
        <w:t xml:space="preserve"> </w:t>
      </w:r>
      <w:r>
        <w:rPr>
          <w:iCs/>
          <w:i/>
        </w:rPr>
        <w:t xml:space="preserve">d</w:t>
      </w:r>
      <w:r>
        <w:t xml:space="preserve"> </w:t>
      </w:r>
      <w:r>
        <w:t xml:space="preserve">is reported with a bootstrap interval. We do not convert</w:t>
      </w:r>
      <w:r>
        <w:t xml:space="preserve"> </w:t>
      </w:r>
      <w:r>
        <w:rPr>
          <w:iCs/>
          <w:i/>
        </w:rPr>
        <w:t xml:space="preserve">d</w:t>
      </w:r>
      <w:r>
        <w:t xml:space="preserve"> </w:t>
      </w:r>
      <w:r>
        <w:t xml:space="preserve">into a required number of units: the conversion (1.645/</w:t>
      </w:r>
      <w:r>
        <w:rPr>
          <w:iCs/>
          <w:i/>
        </w:rPr>
        <w:t xml:space="preserve">d</w:t>
      </w:r>
      <w:r>
        <w:t xml:space="preserve">)² squares the reciprocal of a quantity estimated from as few as eight units, and the resulting intervals span three orders of magnitude (Supplementary Table 16). All three are tabulated separately and the manuscript states which is in use at each point. Each pair shares folds, seeds and preprocessing, so the only thing resampled is which units the comparison is computed on.</w:t>
      </w:r>
    </w:p>
    <w:p>
      <w:pPr>
        <w:pStyle w:val="BodyText"/>
      </w:pPr>
      <w:r>
        <w:rPr>
          <w:bCs/>
          <w:b/>
        </w:rPr>
        <w:t xml:space="preserve">Evaluation-unit resampling.</w:t>
      </w:r>
      <w:r>
        <w:t xml:space="preserve"> </w:t>
      </w:r>
      <w:r>
        <w:t xml:space="preserve">For each unit count</w:t>
      </w:r>
      <w:r>
        <w:t xml:space="preserve"> </w:t>
      </w:r>
      <w:r>
        <w:rPr>
          <w:iCs/>
          <w:i/>
        </w:rPr>
        <w:t xml:space="preserve">k</w:t>
      </w:r>
      <w:r>
        <w:t xml:space="preserve">,</w:t>
      </w:r>
      <w:r>
        <w:t xml:space="preserve"> </w:t>
      </w:r>
      <w:r>
        <w:rPr>
          <w:iCs/>
          <w:i/>
        </w:rPr>
        <w:t xml:space="preserve">k</w:t>
      </w:r>
      <w:r>
        <w:t xml:space="preserve"> </w:t>
      </w:r>
      <w:r>
        <w:t xml:space="preserve">units were drawn without replacement from the per-unit table and the aggregate recomputed, 4,000 times, under both equal and instance weighting. No model is run. One limitation bounds what this establishes: each unit’s score was produced by the fold that withheld it, so resampling mixes training sets and approximates a</w:t>
      </w:r>
      <w:r>
        <w:t xml:space="preserve"> </w:t>
      </w:r>
      <w:r>
        <w:rPr>
          <w:iCs/>
          <w:i/>
        </w:rPr>
        <w:t xml:space="preserve">k</w:t>
      </w:r>
      <w:r>
        <w:t xml:space="preserve">-unit evaluation instead of reproducing one.</w:t>
      </w:r>
    </w:p>
    <w:p>
      <w:pPr>
        <w:pStyle w:val="BodyText"/>
      </w:pPr>
      <w:r>
        <w:rPr>
          <w:bCs/>
          <w:b/>
        </w:rPr>
        <w:t xml:space="preserve">Within-unit measurement noise.</w:t>
      </w:r>
      <w:r>
        <w:t xml:space="preserve"> </w:t>
      </w:r>
      <w:r>
        <w:t xml:space="preserve">On the two classification datasets each unit’s score is a proportion over that unit’s items, so the sampling variance has a closed form. Treating the observed per-unit accuracy as a binomial mean over the unit’s item count and resampling gives a per-unit standard error; subtracting its mean square from the observed between-unit variance separates measurement noise from heterogeneity. Average precision is not a proportion, so this is unavailable on the detection datasets, where the minimum-unit-size sweep is used instead.</w:t>
      </w:r>
    </w:p>
    <w:p>
      <w:pPr>
        <w:pStyle w:val="BodyText"/>
      </w:pPr>
      <w:r>
        <w:rPr>
          <w:bCs/>
          <w:b/>
        </w:rPr>
        <w:t xml:space="preserve">Dose-response (preliminary).</w:t>
      </w:r>
      <w:r>
        <w:t xml:space="preserve"> </w:t>
      </w:r>
      <w:r>
        <w:t xml:space="preserve">These runs predate the protocol change and were not repeated under the clean protocol, so they are reported in the supplementary information rather than as a result. Two limitations apply beyond the protocol. The contaminated protocol’s effect need not be constant across unit counts, so it cannot be assumed to cancel in the comparison across</w:t>
      </w:r>
      <w:r>
        <w:t xml:space="preserve"> </w:t>
      </w:r>
      <w:r>
        <w:rPr>
          <w:iCs/>
          <w:i/>
        </w:rPr>
        <w:t xml:space="preserve">k</w:t>
      </w:r>
      <w:r>
        <w:t xml:space="preserve">. And for each unit count</w:t>
      </w:r>
      <w:r>
        <w:t xml:space="preserve"> </w:t>
      </w:r>
      <w:r>
        <w:rPr>
          <w:iCs/>
          <w:i/>
        </w:rPr>
        <w:t xml:space="preserve">k</w:t>
      </w:r>
      <w:r>
        <w:t xml:space="preserve">, disjoint draws of</w:t>
      </w:r>
      <w:r>
        <w:t xml:space="preserve"> </w:t>
      </w:r>
      <w:r>
        <w:rPr>
          <w:iCs/>
          <w:i/>
        </w:rPr>
        <w:t xml:space="preserve">k</w:t>
      </w:r>
      <w:r>
        <w:t xml:space="preserve"> </w:t>
      </w:r>
      <w:r>
        <w:t xml:space="preserve">units were made at random from the pool remaining after the held-out units were removed, each subsampled to a fixed total item count allocated evenly across units, and each trained with two seeds. Draws that could not reach the item budget were skipped, and at small</w:t>
      </w:r>
      <w:r>
        <w:t xml:space="preserve"> </w:t>
      </w:r>
      <w:r>
        <w:rPr>
          <w:iCs/>
          <w:i/>
        </w:rPr>
        <w:t xml:space="preserve">k</w:t>
      </w:r>
      <w:r>
        <w:t xml:space="preserve"> </w:t>
      </w:r>
      <w:r>
        <w:t xml:space="preserve">that is a large fraction: 4 of 6 intended draws survive at</w:t>
      </w:r>
      <w:r>
        <w:t xml:space="preserve"> </w:t>
      </w:r>
      <w:r>
        <w:rPr>
          <w:iCs/>
          <w:i/>
        </w:rPr>
        <w:t xml:space="preserve">k</w:t>
      </w:r>
      <w:r>
        <w:t xml:space="preserve"> </w:t>
      </w:r>
      <w:r>
        <w:t xml:space="preserve">= 1 on durian, 1 of 8 at</w:t>
      </w:r>
      <w:r>
        <w:t xml:space="preserve"> </w:t>
      </w:r>
      <w:r>
        <w:rPr>
          <w:iCs/>
          <w:i/>
        </w:rPr>
        <w:t xml:space="preserve">k</w:t>
      </w:r>
      <w:r>
        <w:t xml:space="preserve"> </w:t>
      </w:r>
      <w:r>
        <w:t xml:space="preserve">= 2 on wheat. The skipped draws are those whose units are too small to supply the budget, so the low-</w:t>
      </w:r>
      <w:r>
        <w:rPr>
          <w:iCs/>
          <w:i/>
        </w:rPr>
        <w:t xml:space="preserve">k</w:t>
      </w:r>
      <w:r>
        <w:t xml:space="preserve"> </w:t>
      </w:r>
      <w:r>
        <w:t xml:space="preserve">end is biased towards larger units. Durian and wheat curves were run at 100 and 600 training items, far below the main experiments; only the trend with</w:t>
      </w:r>
      <w:r>
        <w:t xml:space="preserve"> </w:t>
      </w:r>
      <w:r>
        <w:rPr>
          <w:iCs/>
          <w:i/>
        </w:rPr>
        <w:t xml:space="preserve">k</w:t>
      </w:r>
      <w:r>
        <w:t xml:space="preserve"> </w:t>
      </w:r>
      <w:r>
        <w:t xml:space="preserve">is interpretable. These runs predate the protocol change and use the contaminated validation arrangement, which affects their absolute level but not the comparison across</w:t>
      </w:r>
      <w:r>
        <w:t xml:space="preserve"> </w:t>
      </w:r>
      <w:r>
        <w:rPr>
          <w:iCs/>
          <w:i/>
        </w:rPr>
        <w:t xml:space="preserve">k</w:t>
      </w:r>
      <w:r>
        <w:t xml:space="preserve">, since every draw shares it.</w:t>
      </w:r>
    </w:p>
    <w:p>
      <w:pPr>
        <w:pStyle w:val="BodyText"/>
      </w:pPr>
      <w:r>
        <w:rPr>
          <w:bCs/>
          <w:b/>
        </w:rPr>
        <w:t xml:space="preserve">Relation to prior work by the same author.</w:t>
      </w:r>
      <w:r>
        <w:t xml:space="preserve"> </w:t>
      </w:r>
      <w:r>
        <w:t xml:space="preserve">The peninsular photographs derive from the same collection as an earlier study of capture-session leakage in five-class classification (under review; https://doi.org/10.5281/zenodo.22177133), which partitions 560 images into 73 sessions and reports macro F1. The present work re-annotates at box level, re-derives attribution by perceptual hash, recovers 303 images, analyses 827 images across eight farms with detection models, and uses a different evaluation protocol; unit, task, annotation level, attribution, analysis set and protocol all differ.</w:t>
      </w:r>
    </w:p>
    <w:p>
      <w:pPr>
        <w:pStyle w:val="BodyText"/>
      </w:pPr>
      <w:r>
        <w:rPr>
          <w:bCs/>
          <w:b/>
        </w:rPr>
        <w:t xml:space="preserve">Reporting summary.</w:t>
      </w:r>
      <w:r>
        <w:t xml:space="preserve"> </w:t>
      </w:r>
      <w:r>
        <w:rPr>
          <w:bCs/>
          <w:b/>
        </w:rPr>
        <w:t xml:space="preserve">[[TODO: complete the NCS reporting summary.]]</w:t>
      </w:r>
    </w:p>
    <w:p>
      <w:pPr>
        <w:pStyle w:val="BodyText"/>
      </w:pPr>
      <w:r>
        <w:rPr>
          <w:bCs/>
          <w:b/>
        </w:rPr>
        <w:t xml:space="preserve">Ethics.</w:t>
      </w:r>
      <w:r>
        <w:t xml:space="preserve"> </w:t>
      </w:r>
      <w:r>
        <w:t xml:space="preserve">The study is principally computational analysis of plant photographs. One component involved consulting two adult growers about their professional practice; informed consent was obtained verbally and recorded at the time, and both have since confirmed in writing. No names, farm names, locations or other identifying information appear.</w:t>
      </w:r>
      <w:r>
        <w:t xml:space="preserve"> </w:t>
      </w:r>
      <w:r>
        <w:rPr>
          <w:bCs/>
          <w:b/>
        </w:rPr>
        <w:t xml:space="preserve">[[TODO: a written determination on whether this constitutes human-subjects research requiring institutional review was requested on DATE and is awaited; insert the outcome or state that it is pending.]]</w:t>
      </w:r>
    </w:p>
    <w:bookmarkStart w:id="23" w:name="data-availability"/>
    <w:p>
      <w:pPr>
        <w:pStyle w:val="Heading3"/>
      </w:pPr>
      <w:r>
        <w:t xml:space="preserve">Data availability</w:t>
      </w:r>
    </w:p>
    <w:p>
      <w:pPr>
        <w:pStyle w:val="FirstParagraph"/>
      </w:pPr>
      <w:r>
        <w:t xml:space="preserve">The durian images and annotations are deposited at https://doi.org/10.5281/zenodo.22030622 (CC BY-NC 4.0) at 640 × 640 with coordinates stripped, together with the content-based farm attribution, tree identifiers and all split manifests. GWHD, BreaKHis and UCI HAR are public; the scripts that reproduce our processing are released. All result tables, under both protocols, are released without restriction.</w:t>
      </w:r>
    </w:p>
    <w:bookmarkEnd w:id="23"/>
    <w:bookmarkStart w:id="24" w:name="code-availability"/>
    <w:p>
      <w:pPr>
        <w:pStyle w:val="Heading3"/>
      </w:pPr>
      <w:r>
        <w:t xml:space="preserve">Code availability</w:t>
      </w:r>
    </w:p>
    <w:p>
      <w:pPr>
        <w:pStyle w:val="FirstParagraph"/>
      </w:pPr>
      <w:r>
        <w:t xml:space="preserve">Corpus preparation, attribution, split construction, both training protocols, per-unit evaluation, variance decomposition, model comparison, resampling and the protocol comparison are at https://github.com/xiaolin200206/durian-site-split, archived at https://doi.org/10.5281/zenodo.22031684.</w:t>
      </w:r>
      <w:r>
        <w:t xml:space="preserve"> </w:t>
      </w:r>
      <w:r>
        <w:rPr>
          <w:rStyle w:val="VerbatimChar"/>
        </w:rPr>
        <w:t xml:space="preserve">unitcheck.py</w:t>
      </w:r>
      <w:r>
        <w:t xml:space="preserve"> </w:t>
      </w:r>
      <w:r>
        <w:t xml:space="preserve">depends only on the standard library. Every quantitative claim in this paper is recomputed from the released tables by a single script on every commit; a claim whose input table is absent fails the build. Three of the errors reported here were found by that process rather than by inspection.</w:t>
      </w:r>
    </w:p>
    <w:bookmarkEnd w:id="24"/>
    <w:bookmarkEnd w:id="25"/>
    <w:bookmarkStart w:id="26" w:name="figure-legends"/>
    <w:p>
      <w:pPr>
        <w:pStyle w:val="Heading2"/>
      </w:pPr>
      <w:r>
        <w:t xml:space="preserve">Figure legends</w:t>
      </w:r>
    </w:p>
    <w:p>
      <w:pPr>
        <w:pStyle w:val="FirstParagraph"/>
      </w:pPr>
      <w:r>
        <w:rPr>
          <w:bCs/>
          <w:b/>
        </w:rPr>
        <w:t xml:space="preserve">Fig. 1 | Every unit, scored on its own.</w:t>
      </w:r>
      <w:r>
        <w:t xml:space="preserve"> </w:t>
      </w:r>
      <w:r>
        <w:t xml:space="preserve">Each marker is one evaluation unit scored with weights whose training set excluded it and which no signal from that unit selected; units are ordered by score. Solid lines are the pooled unit-level figures, dashed lines what an item-level split reports on the same data, both averaged over the models of that dataset. The range of per-unit scores is printed at lower right.</w:t>
      </w:r>
    </w:p>
    <w:p>
      <w:pPr>
        <w:pStyle w:val="BodyText"/>
      </w:pPr>
      <w:r>
        <w:rPr>
          <w:bCs/>
          <w:b/>
        </w:rPr>
        <w:t xml:space="preserve">Fig. 2 | Which unit is scored, against which model.</w:t>
      </w:r>
      <w:r>
        <w:t xml:space="preserve"> </w:t>
      </w:r>
      <w:r>
        <w:rPr>
          <w:bCs/>
          <w:b/>
        </w:rPr>
        <w:t xml:space="preserve">a</w:t>
      </w:r>
      <w:r>
        <w:t xml:space="preserve">, Variance components of the reported figure. On durian a fold is one farm, so the first component is the withheld unit and the decomposition is the crossed one over five models × eight farms × five seeds; on the other three a fold contains several units and the components come from a hierarchical decomposition of the per-unit scores, with the fold and unit terms separated. The pair at the right of each bar is the unit share against the model share.</w:t>
      </w:r>
      <w:r>
        <w:t xml:space="preserve"> </w:t>
      </w:r>
      <w:r>
        <w:rPr>
          <w:bCs/>
          <w:b/>
        </w:rPr>
        <w:t xml:space="preserve">b</w:t>
      </w:r>
      <w:r>
        <w:t xml:space="preserve">, Per-farm scores under the six durian detectors, farms ordered by their mean; mean pairwise Spearman ρ = 0.87.</w:t>
      </w:r>
    </w:p>
    <w:p>
      <w:pPr>
        <w:pStyle w:val="BodyText"/>
      </w:pPr>
      <w:r>
        <w:rPr>
          <w:bCs/>
          <w:b/>
        </w:rPr>
        <w:t xml:space="preserve">Fig. 3 | Training units and evaluation units do different things.</w:t>
      </w:r>
      <w:r>
        <w:t xml:space="preserve"> </w:t>
      </w:r>
      <w:r>
        <w:rPr>
          <w:bCs/>
          <w:b/>
        </w:rPr>
        <w:t xml:space="preserve">a</w:t>
      </w:r>
      <w:r>
        <w:t xml:space="preserve">,</w:t>
      </w:r>
      <w:r>
        <w:t xml:space="preserve"> </w:t>
      </w:r>
      <w:r>
        <w:rPr>
          <w:bCs/>
          <w:b/>
        </w:rPr>
        <w:t xml:space="preserve">b</w:t>
      </w:r>
      <w:r>
        <w:t xml:space="preserve">, Training units, under the contaminated protocol and reported as preliminary: for each count</w:t>
      </w:r>
      <w:r>
        <w:t xml:space="preserve"> </w:t>
      </w:r>
      <w:r>
        <w:rPr>
          <w:iCs/>
          <w:i/>
        </w:rPr>
        <w:t xml:space="preserve">k</w:t>
      </w:r>
      <w:r>
        <w:t xml:space="preserve">, disjoint draws of</w:t>
      </w:r>
      <w:r>
        <w:t xml:space="preserve"> </w:t>
      </w:r>
      <w:r>
        <w:rPr>
          <w:iCs/>
          <w:i/>
        </w:rPr>
        <w:t xml:space="preserve">k</w:t>
      </w:r>
      <w:r>
        <w:t xml:space="preserve"> </w:t>
      </w:r>
      <w:r>
        <w:t xml:space="preserve">units were trained at a fixed total item count and scored on held-out units; the expected score rises on two of three datasets and the spread across draws falls on all three. Draws that could not reach the item budget were skipped, which biases the low-</w:t>
      </w:r>
      <w:r>
        <w:rPr>
          <w:iCs/>
          <w:i/>
        </w:rPr>
        <w:t xml:space="preserve">k</w:t>
      </w:r>
      <w:r>
        <w:t xml:space="preserve"> </w:t>
      </w:r>
      <w:r>
        <w:t xml:space="preserve">end towards larger units, and the protocol effect need not be constant across</w:t>
      </w:r>
      <w:r>
        <w:t xml:space="preserve"> </w:t>
      </w:r>
      <w:r>
        <w:rPr>
          <w:iCs/>
          <w:i/>
        </w:rPr>
        <w:t xml:space="preserve">k</w:t>
      </w:r>
      <w:r>
        <w:t xml:space="preserve">, so these panels are not offered as a result.</w:t>
      </w:r>
      <w:r>
        <w:t xml:space="preserve"> </w:t>
      </w:r>
      <w:r>
        <w:rPr>
          <w:bCs/>
          <w:b/>
        </w:rPr>
        <w:t xml:space="preserve">c</w:t>
      </w:r>
      <w:r>
        <w:t xml:space="preserve">, Evaluation units, under the clean protocol: for each</w:t>
      </w:r>
      <w:r>
        <w:t xml:space="preserve"> </w:t>
      </w:r>
      <w:r>
        <w:rPr>
          <w:iCs/>
          <w:i/>
        </w:rPr>
        <w:t xml:space="preserve">k</w:t>
      </w:r>
      <w:r>
        <w:t xml:space="preserve">, 4,000 draws of</w:t>
      </w:r>
      <w:r>
        <w:t xml:space="preserve"> </w:t>
      </w:r>
      <w:r>
        <w:rPr>
          <w:iCs/>
          <w:i/>
        </w:rPr>
        <w:t xml:space="preserve">k</w:t>
      </w:r>
      <w:r>
        <w:t xml:space="preserve"> </w:t>
      </w:r>
      <w:r>
        <w:t xml:space="preserve">units resampled from the per-unit scores, plotting the width of the 5th-to-95th-percentile range. The mean is flat in</w:t>
      </w:r>
      <w:r>
        <w:t xml:space="preserve"> </w:t>
      </w:r>
      <w:r>
        <w:rPr>
          <w:iCs/>
          <w:i/>
        </w:rPr>
        <w:t xml:space="preserve">k</w:t>
      </w:r>
      <w:r>
        <w:t xml:space="preserve"> </w:t>
      </w:r>
      <w:r>
        <w:t xml:space="preserve">by construction, so the whole effect is on precision.</w:t>
      </w:r>
      <w:r>
        <w:t xml:space="preserve"> </w:t>
      </w:r>
      <w:r>
        <w:rPr>
          <w:bCs/>
          <w:b/>
        </w:rPr>
        <w:t xml:space="preserve">a</w:t>
      </w:r>
      <w:r>
        <w:t xml:space="preserve"> </w:t>
      </w:r>
      <w:r>
        <w:t xml:space="preserve">and</w:t>
      </w:r>
      <w:r>
        <w:t xml:space="preserve"> </w:t>
      </w:r>
      <w:r>
        <w:rPr>
          <w:bCs/>
          <w:b/>
        </w:rPr>
        <w:t xml:space="preserve">c</w:t>
      </w:r>
      <w:r>
        <w:t xml:space="preserve"> </w:t>
      </w:r>
      <w:r>
        <w:t xml:space="preserve">share an</w:t>
      </w:r>
      <w:r>
        <w:t xml:space="preserve"> </w:t>
      </w:r>
      <w:r>
        <w:rPr>
          <w:iCs/>
          <w:i/>
        </w:rPr>
        <w:t xml:space="preserve">x</w:t>
      </w:r>
      <w:r>
        <w:t xml:space="preserve"> </w:t>
      </w:r>
      <w:r>
        <w:t xml:space="preserve">axis but answer different questions — how many units the model learned from, and how many the reported figure was computed on.</w:t>
      </w:r>
    </w:p>
    <w:p>
      <w:pPr>
        <w:pStyle w:val="BodyText"/>
      </w:pPr>
      <w:r>
        <w:rPr>
          <w:bCs/>
          <w:b/>
        </w:rPr>
        <w:t xml:space="preserve">Fig. 4 | When the evaluation sample changes which model wins.</w:t>
      </w:r>
      <w:r>
        <w:t xml:space="preserve"> </w:t>
      </w:r>
      <w:r>
        <w:rPr>
          <w:bCs/>
          <w:b/>
        </w:rPr>
        <w:t xml:space="preserve">a</w:t>
      </w:r>
      <w:r>
        <w:t xml:space="preserve">, For each of the eighteen model pairs, the mean difference between the two models scored on the same unit, with a bar of one standard deviation of that difference across units; the value in brackets is</w:t>
      </w:r>
      <w:r>
        <w:t xml:space="preserve"> </w:t>
      </w:r>
      <w:r>
        <w:rPr>
          <w:iCs/>
          <w:i/>
        </w:rPr>
        <w:t xml:space="preserve">d</w:t>
      </w:r>
      <w:r>
        <w:t xml:space="preserve">, the mean divided by that standard deviation. Diamonds mark pairs that cross an architecture family.</w:t>
      </w:r>
      <w:r>
        <w:t xml:space="preserve"> </w:t>
      </w:r>
      <w:r>
        <w:rPr>
          <w:bCs/>
          <w:b/>
        </w:rPr>
        <w:t xml:space="preserve">b</w:t>
      </w:r>
      <w:r>
        <w:t xml:space="preserve">, Drawing</w:t>
      </w:r>
      <w:r>
        <w:t xml:space="preserve"> </w:t>
      </w:r>
      <w:r>
        <w:rPr>
          <w:iCs/>
          <w:i/>
        </w:rPr>
        <w:t xml:space="preserve">k</w:t>
      </w:r>
      <w:r>
        <w:t xml:space="preserve"> </w:t>
      </w:r>
      <w:r>
        <w:t xml:space="preserve">evaluation units without replacement from the units that exist and recomputing both aggregates, the percentage of draws in which the ranking reverses relative to the full-pool ranking; dashed lines are cross-family pairs. Because the sampling is without replacement, every curve reaches zero at</w:t>
      </w:r>
      <w:r>
        <w:t xml:space="preserve"> </w:t>
      </w:r>
      <w:r>
        <w:rPr>
          <w:iCs/>
          <w:i/>
        </w:rPr>
        <w:t xml:space="preserve">k</w:t>
      </w:r>
      <w:r>
        <w:t xml:space="preserve"> </w:t>
      </w:r>
      <w:r>
        <w:t xml:space="preserve">=</w:t>
      </w:r>
      <w:r>
        <w:t xml:space="preserve"> </w:t>
      </w:r>
      <w:r>
        <w:rPr>
          <w:iCs/>
          <w:i/>
        </w:rPr>
        <w:t xml:space="preserve">N</w:t>
      </w:r>
      <w:r>
        <w:t xml:space="preserve"> </w:t>
      </w:r>
      <w:r>
        <w:t xml:space="preserve">by construction, so this panel shows how quickly a comparison becomes stable within its own corpus and says nothing about a larger population of units; the population criterion and its uncertainty are in Supplementary Table 16.</w:t>
      </w:r>
    </w:p>
    <w:p>
      <w:pPr>
        <w:pStyle w:val="BodyText"/>
      </w:pPr>
      <w:r>
        <w:rPr>
          <w:bCs/>
          <w:b/>
        </w:rPr>
        <w:t xml:space="preserve">Fig. 5 | What the contaminated protocol hid.</w:t>
      </w:r>
      <w:r>
        <w:t xml:space="preserve"> </w:t>
      </w:r>
      <w:r>
        <w:rPr>
          <w:bCs/>
          <w:b/>
        </w:rPr>
        <w:t xml:space="preserve">a</w:t>
      </w:r>
      <w:r>
        <w:t xml:space="preserve">, The overstatement of the item-level protocol under three evaluation protocols: filled, the withheld unit selects the checkpoint; tick, the final epoch of the same runs, which removes best-epoch selection but not early stopping; open, the clean protocol in which the withheld unit enters no training decision. The clean value falls between the other two in every comparable combination.</w:t>
      </w:r>
      <w:r>
        <w:t xml:space="preserve"> </w:t>
      </w:r>
      <w:r>
        <w:rPr>
          <w:bCs/>
          <w:b/>
        </w:rPr>
        <w:t xml:space="preserve">b</w:t>
      </w:r>
      <w:r>
        <w:t xml:space="preserve">, Under the clean protocol, the points by which the figure falls when best-epoch selection is withheld — grey for item-level, colour for unit-level. The effect that was 2.5 to 9.5 points under the contaminated protocol is now within ±1.6.</w:t>
      </w:r>
    </w:p>
    <w:bookmarkEnd w:id="26"/>
    <w:bookmarkStart w:id="27" w:name="supplementary-information"/>
    <w:p>
      <w:pPr>
        <w:pStyle w:val="Heading2"/>
      </w:pPr>
      <w:r>
        <w:t xml:space="preserve">Supplementary information</w:t>
      </w:r>
    </w:p>
    <w:p>
      <w:pPr>
        <w:pStyle w:val="FirstParagraph"/>
      </w:pPr>
      <w:r>
        <w:t xml:space="preserve">Supplementary Tables 1–17, Supplementary Figure 1 and Supplementary Notes 1–4 are provided separately.</w:t>
      </w:r>
    </w:p>
    <w:bookmarkEnd w:id="27"/>
    <w:bookmarkStart w:id="28" w:name="use-of-ai-tools"/>
    <w:p>
      <w:pPr>
        <w:pStyle w:val="Heading2"/>
      </w:pPr>
      <w:r>
        <w:t xml:space="preserve">Use of AI tools</w:t>
      </w:r>
    </w:p>
    <w:p>
      <w:pPr>
        <w:pStyle w:val="FirstParagraph"/>
      </w:pPr>
      <w:r>
        <w:t xml:space="preserve">All fieldwork, image capture, annotation review, class definition, protocol design, model training and the decision to withdraw the claims noted above were carried out by the author. A large language model (Claude, Anthropic) assisted in drafting analysis and audit scripts operating on the released tables and data, in editing the manuscript, and in locating candidate references. The author reviewed every script and its output, re-ran each on the released data, and takes full responsibility for the content.</w:t>
      </w:r>
    </w:p>
    <w:bookmarkEnd w:id="28"/>
    <w:bookmarkStart w:id="29" w:name="competing-interests"/>
    <w:p>
      <w:pPr>
        <w:pStyle w:val="Heading2"/>
      </w:pPr>
      <w:r>
        <w:t xml:space="preserve">Competing interests</w:t>
      </w:r>
    </w:p>
    <w:p>
      <w:pPr>
        <w:pStyle w:val="FirstParagraph"/>
      </w:pPr>
      <w:r>
        <w:t xml:space="preserve">The author is developing an expert system for crop disease detection and has a potential financial interest in the domain the durian study evaluates. Access to the Sabah orchards was facilitated by a commercial partner who had no role in study design, data collection, annotation, analysis or the decision to publish, and provided no funding, products or data.</w:t>
      </w:r>
    </w:p>
    <w:bookmarkEnd w:id="29"/>
    <w:bookmarkStart w:id="30" w:name="acknowledgements"/>
    <w:p>
      <w:pPr>
        <w:pStyle w:val="Heading2"/>
      </w:pPr>
      <w:r>
        <w:t xml:space="preserve">Acknowledgements</w:t>
      </w:r>
    </w:p>
    <w:p>
      <w:pPr>
        <w:pStyle w:val="FirstParagraph"/>
      </w:pPr>
      <w:r>
        <w:t xml:space="preserve">The author thanks the collaborating grower in Johor, who set the symptom-recognition standard in the field, and the orchard manager in Lahad Datu for access to the Sabah site.</w:t>
      </w:r>
    </w:p>
    <w:bookmarkEnd w:id="30"/>
    <w:bookmarkStart w:id="31" w:name="author-contributions"/>
    <w:p>
      <w:pPr>
        <w:pStyle w:val="Heading2"/>
      </w:pPr>
      <w:r>
        <w:t xml:space="preserve">Author contributions</w:t>
      </w:r>
    </w:p>
    <w:p>
      <w:pPr>
        <w:pStyle w:val="FirstParagraph"/>
      </w:pPr>
      <w:r>
        <w:t xml:space="preserve">L.D.S. conceived the study, collected and annotated the durian data, performed all analyses and wrote the manuscript.</w:t>
      </w:r>
    </w:p>
    <w:bookmarkEnd w:id="31"/>
    <w:bookmarkStart w:id="32" w:name="references"/>
    <w:p>
      <w:pPr>
        <w:pStyle w:val="Heading2"/>
      </w:pPr>
      <w:r>
        <w:t xml:space="preserve">References</w:t>
      </w:r>
    </w:p>
    <w:p>
      <w:pPr>
        <w:numPr>
          <w:ilvl w:val="0"/>
          <w:numId w:val="1001"/>
        </w:numPr>
        <w:pStyle w:val="Compact"/>
      </w:pPr>
      <w:r>
        <w:t xml:space="preserve">Xu, M. et al. Plant disease recognition datasets in the age of deep learning: challenges and opportunities.</w:t>
      </w:r>
      <w:r>
        <w:t xml:space="preserve"> </w:t>
      </w:r>
      <w:r>
        <w:rPr>
          <w:iCs/>
          <w:i/>
        </w:rPr>
        <w:t xml:space="preserve">Front. Plant Sci.</w:t>
      </w:r>
      <w:r>
        <w:t xml:space="preserve"> </w:t>
      </w:r>
      <w:r>
        <w:rPr>
          <w:bCs/>
          <w:b/>
        </w:rPr>
        <w:t xml:space="preserve">15</w:t>
      </w:r>
      <w:r>
        <w:t xml:space="preserve">, 1452551 (2024).</w:t>
      </w:r>
    </w:p>
    <w:p>
      <w:pPr>
        <w:numPr>
          <w:ilvl w:val="0"/>
          <w:numId w:val="1001"/>
        </w:numPr>
        <w:pStyle w:val="Compact"/>
      </w:pPr>
      <w:r>
        <w:t xml:space="preserve">Noyan, M. A. Uncovering bias in the PlantVillage dataset. Preprint at arXiv:2206.04374 (2022).</w:t>
      </w:r>
    </w:p>
    <w:p>
      <w:pPr>
        <w:numPr>
          <w:ilvl w:val="0"/>
          <w:numId w:val="1001"/>
        </w:numPr>
        <w:pStyle w:val="Compact"/>
      </w:pPr>
      <w:r>
        <w:t xml:space="preserve">David, E. et al. Global Wheat Head Detection (GWHD) dataset.</w:t>
      </w:r>
      <w:r>
        <w:t xml:space="preserve"> </w:t>
      </w:r>
      <w:r>
        <w:rPr>
          <w:iCs/>
          <w:i/>
        </w:rPr>
        <w:t xml:space="preserve">Plant Phenomics</w:t>
      </w:r>
      <w:r>
        <w:t xml:space="preserve"> </w:t>
      </w:r>
      <w:r>
        <w:rPr>
          <w:bCs/>
          <w:b/>
        </w:rPr>
        <w:t xml:space="preserve">2020</w:t>
      </w:r>
      <w:r>
        <w:t xml:space="preserve">, 3521852 (2020).</w:t>
      </w:r>
    </w:p>
    <w:p>
      <w:pPr>
        <w:numPr>
          <w:ilvl w:val="0"/>
          <w:numId w:val="1001"/>
        </w:numPr>
        <w:pStyle w:val="Compact"/>
      </w:pPr>
      <w:r>
        <w:t xml:space="preserve">David, E. et al. Global Wheat Head Detection 2021: an improved dataset for benchmarking wheat head detection methods.</w:t>
      </w:r>
      <w:r>
        <w:t xml:space="preserve"> </w:t>
      </w:r>
      <w:r>
        <w:rPr>
          <w:iCs/>
          <w:i/>
        </w:rPr>
        <w:t xml:space="preserve">Plant Phenomics</w:t>
      </w:r>
      <w:r>
        <w:t xml:space="preserve"> </w:t>
      </w:r>
      <w:r>
        <w:rPr>
          <w:bCs/>
          <w:b/>
        </w:rPr>
        <w:t xml:space="preserve">2021</w:t>
      </w:r>
      <w:r>
        <w:t xml:space="preserve">, 9846158 (2021).</w:t>
      </w:r>
    </w:p>
    <w:p>
      <w:pPr>
        <w:numPr>
          <w:ilvl w:val="0"/>
          <w:numId w:val="1001"/>
        </w:numPr>
        <w:pStyle w:val="Compact"/>
      </w:pPr>
      <w:r>
        <w:t xml:space="preserve">David, E. et al. Global Wheat Head Detection challenges: winning models and application for head counting.</w:t>
      </w:r>
      <w:r>
        <w:t xml:space="preserve"> </w:t>
      </w:r>
      <w:r>
        <w:rPr>
          <w:iCs/>
          <w:i/>
        </w:rPr>
        <w:t xml:space="preserve">Plant Phenomics</w:t>
      </w:r>
      <w:r>
        <w:t xml:space="preserve"> </w:t>
      </w:r>
      <w:r>
        <w:rPr>
          <w:bCs/>
          <w:b/>
        </w:rPr>
        <w:t xml:space="preserve">5</w:t>
      </w:r>
      <w:r>
        <w:t xml:space="preserve">, 0059 (2023).</w:t>
      </w:r>
    </w:p>
    <w:p>
      <w:pPr>
        <w:numPr>
          <w:ilvl w:val="0"/>
          <w:numId w:val="1001"/>
        </w:numPr>
        <w:pStyle w:val="Compact"/>
      </w:pPr>
      <w:r>
        <w:t xml:space="preserve">Koh, P. W. et al. WILDS: a benchmark of in-the-wild distribution shifts.</w:t>
      </w:r>
      <w:r>
        <w:t xml:space="preserve"> </w:t>
      </w:r>
      <w:r>
        <w:rPr>
          <w:iCs/>
          <w:i/>
        </w:rPr>
        <w:t xml:space="preserve">Proc. ICML</w:t>
      </w:r>
      <w:r>
        <w:t xml:space="preserve"> </w:t>
      </w:r>
      <w:r>
        <w:t xml:space="preserve">(2021).</w:t>
      </w:r>
    </w:p>
    <w:p>
      <w:pPr>
        <w:numPr>
          <w:ilvl w:val="0"/>
          <w:numId w:val="1001"/>
        </w:numPr>
        <w:pStyle w:val="Compact"/>
      </w:pPr>
      <w:r>
        <w:t xml:space="preserve">Saeb, S., Lonini, L., Jayaraman, A., Mohr, D. C. &amp; Kording, K. P. The need to approximate the use-case in clinical machine learning.</w:t>
      </w:r>
      <w:r>
        <w:t xml:space="preserve"> </w:t>
      </w:r>
      <w:r>
        <w:rPr>
          <w:iCs/>
          <w:i/>
        </w:rPr>
        <w:t xml:space="preserve">GigaScience</w:t>
      </w:r>
      <w:r>
        <w:t xml:space="preserve"> </w:t>
      </w:r>
      <w:r>
        <w:rPr>
          <w:bCs/>
          <w:b/>
        </w:rPr>
        <w:t xml:space="preserve">6</w:t>
      </w:r>
      <w:r>
        <w:t xml:space="preserve">, gix019 (2017).</w:t>
      </w:r>
    </w:p>
    <w:p>
      <w:pPr>
        <w:numPr>
          <w:ilvl w:val="0"/>
          <w:numId w:val="1001"/>
        </w:numPr>
        <w:pStyle w:val="Compact"/>
      </w:pPr>
      <w:r>
        <w:t xml:space="preserve">Chaibub Neto, E. et al. Detecting the impact of subject characteristics on machine learning-based diagnostic applications.</w:t>
      </w:r>
      <w:r>
        <w:t xml:space="preserve"> </w:t>
      </w:r>
      <w:r>
        <w:rPr>
          <w:iCs/>
          <w:i/>
        </w:rPr>
        <w:t xml:space="preserve">npj Digit. Med.</w:t>
      </w:r>
      <w:r>
        <w:t xml:space="preserve"> </w:t>
      </w:r>
      <w:r>
        <w:rPr>
          <w:bCs/>
          <w:b/>
        </w:rPr>
        <w:t xml:space="preserve">2</w:t>
      </w:r>
      <w:r>
        <w:t xml:space="preserve">, 99 (2019).</w:t>
      </w:r>
    </w:p>
    <w:p>
      <w:pPr>
        <w:numPr>
          <w:ilvl w:val="0"/>
          <w:numId w:val="1001"/>
        </w:numPr>
        <w:pStyle w:val="Compact"/>
      </w:pPr>
      <w:r>
        <w:t xml:space="preserve">Brookshire, G. et al. Data leakage in deep learning studies of translational EEG.</w:t>
      </w:r>
      <w:r>
        <w:t xml:space="preserve"> </w:t>
      </w:r>
      <w:r>
        <w:rPr>
          <w:iCs/>
          <w:i/>
        </w:rPr>
        <w:t xml:space="preserve">Front. Neurosci.</w:t>
      </w:r>
      <w:r>
        <w:t xml:space="preserve"> </w:t>
      </w:r>
      <w:r>
        <w:rPr>
          <w:bCs/>
          <w:b/>
        </w:rPr>
        <w:t xml:space="preserve">18</w:t>
      </w:r>
      <w:r>
        <w:t xml:space="preserve">, 1373515 (2024).</w:t>
      </w:r>
    </w:p>
    <w:p>
      <w:pPr>
        <w:numPr>
          <w:ilvl w:val="0"/>
          <w:numId w:val="1001"/>
        </w:numPr>
        <w:pStyle w:val="Compact"/>
      </w:pPr>
      <w:r>
        <w:t xml:space="preserve">Tampu, I. E., Eklund, A. &amp; Haj-Hosseini, N. Inflation of test accuracy due to data leakage in deep learning analysis of optical coherence tomography.</w:t>
      </w:r>
      <w:r>
        <w:t xml:space="preserve"> </w:t>
      </w:r>
      <w:r>
        <w:rPr>
          <w:iCs/>
          <w:i/>
        </w:rPr>
        <w:t xml:space="preserve">Sci. Data</w:t>
      </w:r>
      <w:r>
        <w:t xml:space="preserve"> </w:t>
      </w:r>
      <w:r>
        <w:rPr>
          <w:bCs/>
          <w:b/>
        </w:rPr>
        <w:t xml:space="preserve">9</w:t>
      </w:r>
      <w:r>
        <w:t xml:space="preserve">, 580 (2022).</w:t>
      </w:r>
    </w:p>
    <w:p>
      <w:pPr>
        <w:numPr>
          <w:ilvl w:val="0"/>
          <w:numId w:val="1001"/>
        </w:numPr>
        <w:pStyle w:val="Compact"/>
      </w:pPr>
      <w:r>
        <w:t xml:space="preserve">Varoquaux, G. &amp; Cheplygina, V. Machine learning for medical imaging: methodological failures and recommendations for the future.</w:t>
      </w:r>
      <w:r>
        <w:t xml:space="preserve"> </w:t>
      </w:r>
      <w:r>
        <w:rPr>
          <w:iCs/>
          <w:i/>
        </w:rPr>
        <w:t xml:space="preserve">npj Digit. Med.</w:t>
      </w:r>
      <w:r>
        <w:t xml:space="preserve"> </w:t>
      </w:r>
      <w:r>
        <w:rPr>
          <w:bCs/>
          <w:b/>
        </w:rPr>
        <w:t xml:space="preserve">5</w:t>
      </w:r>
      <w:r>
        <w:t xml:space="preserve">, 48 (2022).</w:t>
      </w:r>
    </w:p>
    <w:p>
      <w:pPr>
        <w:numPr>
          <w:ilvl w:val="0"/>
          <w:numId w:val="1001"/>
        </w:numPr>
        <w:pStyle w:val="Compact"/>
      </w:pPr>
      <w:r>
        <w:t xml:space="preserve">Kapoor, S. &amp; Narayanan, A. Leakage and the reproducibility crisis in machine-learning-based science.</w:t>
      </w:r>
      <w:r>
        <w:t xml:space="preserve"> </w:t>
      </w:r>
      <w:r>
        <w:rPr>
          <w:iCs/>
          <w:i/>
        </w:rPr>
        <w:t xml:space="preserve">Patterns</w:t>
      </w:r>
      <w:r>
        <w:t xml:space="preserve"> </w:t>
      </w:r>
      <w:r>
        <w:rPr>
          <w:bCs/>
          <w:b/>
        </w:rPr>
        <w:t xml:space="preserve">4</w:t>
      </w:r>
      <w:r>
        <w:t xml:space="preserve">, 100804 (2023).</w:t>
      </w:r>
    </w:p>
    <w:p>
      <w:pPr>
        <w:numPr>
          <w:ilvl w:val="0"/>
          <w:numId w:val="1001"/>
        </w:numPr>
        <w:pStyle w:val="Compact"/>
      </w:pPr>
      <w:r>
        <w:t xml:space="preserve">Hughes, D. P. &amp; Salathé, M. An open access repository of images on plant health. Preprint at arXiv:1511.08060 (2015).</w:t>
      </w:r>
    </w:p>
    <w:p>
      <w:pPr>
        <w:numPr>
          <w:ilvl w:val="0"/>
          <w:numId w:val="1001"/>
        </w:numPr>
        <w:pStyle w:val="Compact"/>
      </w:pPr>
      <w:r>
        <w:t xml:space="preserve">Singh, D. et al. PlantDoc: a dataset for visual plant disease detection.</w:t>
      </w:r>
      <w:r>
        <w:t xml:space="preserve"> </w:t>
      </w:r>
      <w:r>
        <w:rPr>
          <w:iCs/>
          <w:i/>
        </w:rPr>
        <w:t xml:space="preserve">Proc. CoDS-COMAD</w:t>
      </w:r>
      <w:r>
        <w:t xml:space="preserve"> </w:t>
      </w:r>
      <w:r>
        <w:t xml:space="preserve">249–253 (2020).</w:t>
      </w:r>
    </w:p>
    <w:p>
      <w:pPr>
        <w:numPr>
          <w:ilvl w:val="0"/>
          <w:numId w:val="1001"/>
        </w:numPr>
        <w:pStyle w:val="Compact"/>
      </w:pPr>
      <w:r>
        <w:t xml:space="preserve">Moupojou, E. et al. FieldPlant: a dataset of field plant images for plant disease detection and classification with deep learning.</w:t>
      </w:r>
      <w:r>
        <w:t xml:space="preserve"> </w:t>
      </w:r>
      <w:r>
        <w:rPr>
          <w:iCs/>
          <w:i/>
        </w:rPr>
        <w:t xml:space="preserve">IEEE Access</w:t>
      </w:r>
      <w:r>
        <w:t xml:space="preserve"> </w:t>
      </w:r>
      <w:r>
        <w:rPr>
          <w:bCs/>
          <w:b/>
        </w:rPr>
        <w:t xml:space="preserve">11</w:t>
      </w:r>
      <w:r>
        <w:t xml:space="preserve">, 35398–35410 (2023).</w:t>
      </w:r>
    </w:p>
    <w:p>
      <w:pPr>
        <w:numPr>
          <w:ilvl w:val="0"/>
          <w:numId w:val="1001"/>
        </w:numPr>
        <w:pStyle w:val="Compact"/>
      </w:pPr>
      <w:r>
        <w:t xml:space="preserve">Thanh, T. N. et al. A durian leaf image dataset of common diseases in Vietnam for agricultural diagnosis.</w:t>
      </w:r>
      <w:r>
        <w:t xml:space="preserve"> </w:t>
      </w:r>
      <w:r>
        <w:rPr>
          <w:iCs/>
          <w:i/>
        </w:rPr>
        <w:t xml:space="preserve">Data Brief</w:t>
      </w:r>
      <w:r>
        <w:t xml:space="preserve"> </w:t>
      </w:r>
      <w:r>
        <w:rPr>
          <w:bCs/>
          <w:b/>
        </w:rPr>
        <w:t xml:space="preserve">61</w:t>
      </w:r>
      <w:r>
        <w:t xml:space="preserve">, 111845 (2025).</w:t>
      </w:r>
    </w:p>
    <w:p>
      <w:pPr>
        <w:numPr>
          <w:ilvl w:val="0"/>
          <w:numId w:val="1001"/>
        </w:numPr>
        <w:pStyle w:val="Compact"/>
      </w:pPr>
      <w:r>
        <w:t xml:space="preserve">Gomes, R. R. et al. </w:t>
      </w:r>
      <w:r>
        <w:rPr>
          <w:iCs/>
          <w:i/>
        </w:rPr>
        <w:t xml:space="preserve">Diaporthe</w:t>
      </w:r>
      <w:r>
        <w:t xml:space="preserve">: a genus of endophytic, saprobic and plant pathogenic fungi.</w:t>
      </w:r>
      <w:r>
        <w:t xml:space="preserve"> </w:t>
      </w:r>
      <w:r>
        <w:rPr>
          <w:iCs/>
          <w:i/>
        </w:rPr>
        <w:t xml:space="preserve">Persoonia</w:t>
      </w:r>
      <w:r>
        <w:t xml:space="preserve"> </w:t>
      </w:r>
      <w:r>
        <w:rPr>
          <w:bCs/>
          <w:b/>
        </w:rPr>
        <w:t xml:space="preserve">31</w:t>
      </w:r>
      <w:r>
        <w:t xml:space="preserve">, 1–41 (2013).</w:t>
      </w:r>
    </w:p>
    <w:p>
      <w:pPr>
        <w:numPr>
          <w:ilvl w:val="0"/>
          <w:numId w:val="1001"/>
        </w:numPr>
        <w:pStyle w:val="Compact"/>
      </w:pPr>
      <w:r>
        <w:t xml:space="preserve">Udayanga, D. et al. The genus</w:t>
      </w:r>
      <w:r>
        <w:t xml:space="preserve"> </w:t>
      </w:r>
      <w:r>
        <w:rPr>
          <w:iCs/>
          <w:i/>
        </w:rPr>
        <w:t xml:space="preserve">Phomopsis</w:t>
      </w:r>
      <w:r>
        <w:t xml:space="preserve">: biology, applications, species concepts and names of common phytopathogens.</w:t>
      </w:r>
      <w:r>
        <w:t xml:space="preserve"> </w:t>
      </w:r>
      <w:r>
        <w:rPr>
          <w:iCs/>
          <w:i/>
        </w:rPr>
        <w:t xml:space="preserve">Fungal Divers.</w:t>
      </w:r>
      <w:r>
        <w:t xml:space="preserve"> </w:t>
      </w:r>
      <w:r>
        <w:rPr>
          <w:bCs/>
          <w:b/>
        </w:rPr>
        <w:t xml:space="preserve">50</w:t>
      </w:r>
      <w:r>
        <w:t xml:space="preserve">, 189–225 (2011).</w:t>
      </w:r>
    </w:p>
    <w:p>
      <w:pPr>
        <w:numPr>
          <w:ilvl w:val="0"/>
          <w:numId w:val="1001"/>
        </w:numPr>
        <w:pStyle w:val="Compact"/>
      </w:pPr>
      <w:r>
        <w:t xml:space="preserve">Jocher, G. &amp; Qiu, J. Ultralytics YOLO11, version 11.0.0. https://github.com/ultralytics/ultralytics (2024).</w:t>
      </w:r>
    </w:p>
    <w:p>
      <w:pPr>
        <w:numPr>
          <w:ilvl w:val="0"/>
          <w:numId w:val="1001"/>
        </w:numPr>
        <w:pStyle w:val="Compact"/>
      </w:pPr>
      <w:r>
        <w:t xml:space="preserve">Zhao, Y. et al. DETRs beat YOLOs on real-time object detection.</w:t>
      </w:r>
      <w:r>
        <w:t xml:space="preserve"> </w:t>
      </w:r>
      <w:r>
        <w:rPr>
          <w:iCs/>
          <w:i/>
        </w:rPr>
        <w:t xml:space="preserve">Proc. IEEE/CVF Conf. Computer Vision and Pattern Recognition</w:t>
      </w:r>
      <w:r>
        <w:t xml:space="preserve"> </w:t>
      </w:r>
      <w:r>
        <w:t xml:space="preserve">16965–16974 (2024).</w:t>
      </w:r>
    </w:p>
    <w:p>
      <w:pPr>
        <w:numPr>
          <w:ilvl w:val="0"/>
          <w:numId w:val="1001"/>
        </w:numPr>
        <w:pStyle w:val="Compact"/>
      </w:pPr>
      <w:r>
        <w:t xml:space="preserve">Lin, T.-Y. et al. Microsoft COCO: common objects in context.</w:t>
      </w:r>
      <w:r>
        <w:t xml:space="preserve"> </w:t>
      </w:r>
      <w:r>
        <w:rPr>
          <w:iCs/>
          <w:i/>
        </w:rPr>
        <w:t xml:space="preserve">Proc. ECCV</w:t>
      </w:r>
      <w:r>
        <w:t xml:space="preserve"> </w:t>
      </w:r>
      <w:r>
        <w:t xml:space="preserve">740–755 (2014).</w:t>
      </w:r>
    </w:p>
    <w:p>
      <w:pPr>
        <w:numPr>
          <w:ilvl w:val="0"/>
          <w:numId w:val="1001"/>
        </w:numPr>
        <w:pStyle w:val="Compact"/>
      </w:pPr>
      <w:r>
        <w:t xml:space="preserve">Anguita, D. et al. A public domain dataset for human activity recognition using smartphones.</w:t>
      </w:r>
      <w:r>
        <w:t xml:space="preserve"> </w:t>
      </w:r>
      <w:r>
        <w:rPr>
          <w:iCs/>
          <w:i/>
        </w:rPr>
        <w:t xml:space="preserve">Proc. ESANN</w:t>
      </w:r>
      <w:r>
        <w:t xml:space="preserve"> </w:t>
      </w:r>
      <w:r>
        <w:t xml:space="preserve">437–442 (2013).</w:t>
      </w:r>
    </w:p>
    <w:p>
      <w:pPr>
        <w:numPr>
          <w:ilvl w:val="0"/>
          <w:numId w:val="1001"/>
        </w:numPr>
        <w:pStyle w:val="Compact"/>
      </w:pPr>
      <w:r>
        <w:t xml:space="preserve">Spanhol, F. A., Oliveira, L. S., Petitjean, C. &amp; Heutte, L. A dataset for breast cancer histopathological image classification.</w:t>
      </w:r>
      <w:r>
        <w:t xml:space="preserve"> </w:t>
      </w:r>
      <w:r>
        <w:rPr>
          <w:iCs/>
          <w:i/>
        </w:rPr>
        <w:t xml:space="preserve">IEEE Trans. Biomed. Eng.</w:t>
      </w:r>
      <w:r>
        <w:t xml:space="preserve"> </w:t>
      </w:r>
      <w:r>
        <w:rPr>
          <w:bCs/>
          <w:b/>
        </w:rPr>
        <w:t xml:space="preserve">63</w:t>
      </w:r>
      <w:r>
        <w:t xml:space="preserve">, 1455–1462 (2016).</w:t>
      </w:r>
    </w:p>
    <w:p>
      <w:pPr>
        <w:numPr>
          <w:ilvl w:val="0"/>
          <w:numId w:val="1001"/>
        </w:numPr>
        <w:pStyle w:val="Compact"/>
      </w:pPr>
      <w:r>
        <w:t xml:space="preserve">O’Gara, E., Guest, D. I. &amp; Hassan, N. M. Botany and production of durian in Southeast Asia. In</w:t>
      </w:r>
      <w:r>
        <w:t xml:space="preserve"> </w:t>
      </w:r>
      <w:r>
        <w:rPr>
          <w:iCs/>
          <w:i/>
        </w:rPr>
        <w:t xml:space="preserve">Diversity and Management of Phytophthora in Southeast Asia</w:t>
      </w:r>
      <w:r>
        <w:t xml:space="preserve"> </w:t>
      </w:r>
      <w:r>
        <w:t xml:space="preserve">180–186 (ACIAR Monograph 114, 2004).</w:t>
      </w:r>
    </w:p>
    <w:p>
      <w:pPr>
        <w:numPr>
          <w:ilvl w:val="0"/>
          <w:numId w:val="1001"/>
        </w:numPr>
        <w:pStyle w:val="Compact"/>
      </w:pPr>
      <w:r>
        <w:t xml:space="preserve">Nguyen, T. Image dataset of ten durian diseases captured in real-field conditions from a family orchard in Vinh Long, Vietnam.</w:t>
      </w:r>
      <w:r>
        <w:t xml:space="preserve"> </w:t>
      </w:r>
      <w:r>
        <w:rPr>
          <w:iCs/>
          <w:i/>
        </w:rPr>
        <w:t xml:space="preserve">Data Brief</w:t>
      </w:r>
      <w:r>
        <w:t xml:space="preserve"> </w:t>
      </w:r>
      <w:r>
        <w:rPr>
          <w:bCs/>
          <w:b/>
        </w:rPr>
        <w:t xml:space="preserve">63</w:t>
      </w:r>
      <w:r>
        <w:t xml:space="preserve">, 112244 (2025).</w:t>
      </w:r>
    </w:p>
    <w:p>
      <w:pPr>
        <w:numPr>
          <w:ilvl w:val="0"/>
          <w:numId w:val="1001"/>
        </w:numPr>
        <w:pStyle w:val="Compact"/>
      </w:pPr>
      <w:r>
        <w:t xml:space="preserve">Debray, T. P. A. et al. Transparent reporting of multivariable prediction models developed or validated using clustered data: TRIPOD-Cluster checklist.</w:t>
      </w:r>
      <w:r>
        <w:t xml:space="preserve"> </w:t>
      </w:r>
      <w:r>
        <w:rPr>
          <w:iCs/>
          <w:i/>
        </w:rPr>
        <w:t xml:space="preserve">BMJ</w:t>
      </w:r>
      <w:r>
        <w:t xml:space="preserve"> </w:t>
      </w:r>
      <w:r>
        <w:rPr>
          <w:bCs/>
          <w:b/>
        </w:rPr>
        <w:t xml:space="preserve">380</w:t>
      </w:r>
      <w:r>
        <w:t xml:space="preserve">, e071018 (2023).</w:t>
      </w:r>
    </w:p>
    <w:p>
      <w:pPr>
        <w:numPr>
          <w:ilvl w:val="0"/>
          <w:numId w:val="1001"/>
        </w:numPr>
        <w:pStyle w:val="Compact"/>
      </w:pPr>
      <w:r>
        <w:t xml:space="preserve">Hong, T., Lim, D. &amp; Bae, W. Beyond point estimates: reliable evaluation of prediction performance metrics under clustered data. Preprint at arXiv:2606.03656 (2026).</w:t>
      </w:r>
    </w:p>
    <w:p>
      <w:pPr>
        <w:numPr>
          <w:ilvl w:val="0"/>
          <w:numId w:val="1001"/>
        </w:numPr>
        <w:pStyle w:val="Compact"/>
      </w:pPr>
      <w:r>
        <w:t xml:space="preserve">Bouthillier, X. et al. Accounting for variance in machine learning benchmarks.</w:t>
      </w:r>
      <w:r>
        <w:t xml:space="preserve"> </w:t>
      </w:r>
      <w:r>
        <w:rPr>
          <w:iCs/>
          <w:i/>
        </w:rPr>
        <w:t xml:space="preserve">Proc. Machine Learning and Systems</w:t>
      </w:r>
      <w:r>
        <w:t xml:space="preserve"> </w:t>
      </w:r>
      <w:r>
        <w:rPr>
          <w:bCs/>
          <w:b/>
        </w:rPr>
        <w:t xml:space="preserve">3</w:t>
      </w:r>
      <w:r>
        <w:t xml:space="preserve">, 747–769 (2021).</w:t>
      </w:r>
    </w:p>
    <w:p>
      <w:pPr>
        <w:numPr>
          <w:ilvl w:val="0"/>
          <w:numId w:val="1001"/>
        </w:numPr>
        <w:pStyle w:val="Compact"/>
      </w:pPr>
      <w:r>
        <w:t xml:space="preserve">Varoquaux, G. Cross-validation failure: small sample sizes lead to large error bars.</w:t>
      </w:r>
      <w:r>
        <w:t xml:space="preserve"> </w:t>
      </w:r>
      <w:r>
        <w:rPr>
          <w:iCs/>
          <w:i/>
        </w:rPr>
        <w:t xml:space="preserve">NeuroImage</w:t>
      </w:r>
      <w:r>
        <w:t xml:space="preserve"> </w:t>
      </w:r>
      <w:r>
        <w:rPr>
          <w:bCs/>
          <w:b/>
        </w:rPr>
        <w:t xml:space="preserve">180</w:t>
      </w:r>
      <w:r>
        <w:t xml:space="preserve">, 68–77 (2018).</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2026-09-15T07:14:29Z</dcterms:created>
  <dcterms:modified xsi:type="dcterms:W3CDTF">2026-09-15T07:14:29Z</dcterms:modified>
</cp:coreProperties>
</file>

<file path=docProps/custom.xml><?xml version="1.0" encoding="utf-8"?>
<Properties xmlns="http://schemas.openxmlformats.org/officeDocument/2006/custom-properties" xmlns:vt="http://schemas.openxmlformats.org/officeDocument/2006/docPropsVTypes"/>
</file>