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png" ContentType="image/png"/>
  <Override PartName="/word/media/rId35.png" ContentType="image/png"/>
  <Override PartName="/word/media/rId40.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557fd0ed4be1ed7027741b7159d3d94181bd0f0"/>
    <w:p>
      <w:pPr>
        <w:pStyle w:val="Heading1"/>
      </w:pPr>
      <w:r>
        <w:t xml:space="preserve">Supplementary material: addendum for the prospective test</w:t>
      </w:r>
    </w:p>
    <w:p>
      <w:pPr>
        <w:pStyle w:val="FirstParagraph"/>
      </w:pPr>
      <w:r>
        <w:rPr>
          <w:iCs/>
          <w:i/>
        </w:rPr>
        <w:t xml:space="preserve">To be appended to the existing supplementary file (Tables S1–S7, Notes S1–S3).</w:t>
      </w:r>
    </w:p>
    <w:bookmarkStart w:id="20" w:name="X24ee0131017536976827531b6a6aa907b5b76be"/>
    <w:p>
      <w:pPr>
        <w:pStyle w:val="Heading2"/>
      </w:pPr>
      <w:r>
        <w:t xml:space="preserve">Table S8. Prospective test on the Seremban farm: mAP50 of each detector by held-out-farm model set</w:t>
      </w:r>
    </w:p>
    <w:p>
      <w:pPr>
        <w:pStyle w:val="FirstParagraph"/>
      </w:pPr>
      <w:r>
        <w:t xml:space="preserve">Each cell is the mean over the five seeds of the leave-one-farm-out models that were trained without the farm named in the first column (Section 2.5), evaluated on the 82 Seremban images. The last rows give the mean and standard deviation over the eight model sets, the mean within-set standard deviation over seeds, and the mean mAP50-95 aggregated the same way. Per-model scores (200 rows, with mAP50-95 and per-class AP50) are in the code repository.</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Held-out farm of the model set</w:t>
            </w:r>
          </w:p>
        </w:tc>
        <w:tc>
          <w:tcPr/>
          <w:p>
            <w:pPr>
              <w:pStyle w:val="Compact"/>
              <w:jc w:val="left"/>
            </w:pPr>
            <w:r>
              <w:t xml:space="preserve">YOLO11n</w:t>
            </w:r>
          </w:p>
        </w:tc>
        <w:tc>
          <w:tcPr/>
          <w:p>
            <w:pPr>
              <w:pStyle w:val="Compact"/>
              <w:jc w:val="left"/>
            </w:pPr>
            <w:r>
              <w:t xml:space="preserve">YOLO11s</w:t>
            </w:r>
          </w:p>
        </w:tc>
        <w:tc>
          <w:tcPr/>
          <w:p>
            <w:pPr>
              <w:pStyle w:val="Compact"/>
              <w:jc w:val="left"/>
            </w:pPr>
            <w:r>
              <w:t xml:space="preserve">YOLO11m</w:t>
            </w:r>
          </w:p>
        </w:tc>
        <w:tc>
          <w:tcPr/>
          <w:p>
            <w:pPr>
              <w:pStyle w:val="Compact"/>
              <w:jc w:val="left"/>
            </w:pPr>
            <w:r>
              <w:t xml:space="preserve">YOLO11l</w:t>
            </w:r>
          </w:p>
        </w:tc>
        <w:tc>
          <w:tcPr/>
          <w:p>
            <w:pPr>
              <w:pStyle w:val="Compact"/>
              <w:jc w:val="left"/>
            </w:pPr>
            <w:r>
              <w:t xml:space="preserve">RT-DETR-L</w:t>
            </w:r>
          </w:p>
        </w:tc>
      </w:tr>
      <w:tr>
        <w:tc>
          <w:tcPr/>
          <w:p>
            <w:pPr>
              <w:pStyle w:val="Compact"/>
              <w:jc w:val="left"/>
            </w:pPr>
            <w:r>
              <w:t xml:space="preserve">0</w:t>
            </w:r>
          </w:p>
        </w:tc>
        <w:tc>
          <w:tcPr/>
          <w:p>
            <w:pPr>
              <w:pStyle w:val="Compact"/>
              <w:jc w:val="left"/>
            </w:pPr>
            <w:r>
              <w:t xml:space="preserve">0.250</w:t>
            </w:r>
          </w:p>
        </w:tc>
        <w:tc>
          <w:tcPr/>
          <w:p>
            <w:pPr>
              <w:pStyle w:val="Compact"/>
              <w:jc w:val="left"/>
            </w:pPr>
            <w:r>
              <w:t xml:space="preserve">0.255</w:t>
            </w:r>
          </w:p>
        </w:tc>
        <w:tc>
          <w:tcPr/>
          <w:p>
            <w:pPr>
              <w:pStyle w:val="Compact"/>
              <w:jc w:val="left"/>
            </w:pPr>
            <w:r>
              <w:t xml:space="preserve">0.262</w:t>
            </w:r>
          </w:p>
        </w:tc>
        <w:tc>
          <w:tcPr/>
          <w:p>
            <w:pPr>
              <w:pStyle w:val="Compact"/>
              <w:jc w:val="left"/>
            </w:pPr>
            <w:r>
              <w:t xml:space="preserve">0.292</w:t>
            </w:r>
          </w:p>
        </w:tc>
        <w:tc>
          <w:tcPr/>
          <w:p>
            <w:pPr>
              <w:pStyle w:val="Compact"/>
              <w:jc w:val="left"/>
            </w:pPr>
            <w:r>
              <w:t xml:space="preserve">0.323</w:t>
            </w:r>
          </w:p>
        </w:tc>
      </w:tr>
      <w:tr>
        <w:tc>
          <w:tcPr/>
          <w:p>
            <w:pPr>
              <w:pStyle w:val="Compact"/>
              <w:jc w:val="left"/>
            </w:pPr>
            <w:r>
              <w:t xml:space="preserve">1</w:t>
            </w:r>
          </w:p>
        </w:tc>
        <w:tc>
          <w:tcPr/>
          <w:p>
            <w:pPr>
              <w:pStyle w:val="Compact"/>
              <w:jc w:val="left"/>
            </w:pPr>
            <w:r>
              <w:t xml:space="preserve">0.341</w:t>
            </w:r>
          </w:p>
        </w:tc>
        <w:tc>
          <w:tcPr/>
          <w:p>
            <w:pPr>
              <w:pStyle w:val="Compact"/>
              <w:jc w:val="left"/>
            </w:pPr>
            <w:r>
              <w:t xml:space="preserve">0.339</w:t>
            </w:r>
          </w:p>
        </w:tc>
        <w:tc>
          <w:tcPr/>
          <w:p>
            <w:pPr>
              <w:pStyle w:val="Compact"/>
              <w:jc w:val="left"/>
            </w:pPr>
            <w:r>
              <w:t xml:space="preserve">0.355</w:t>
            </w:r>
          </w:p>
        </w:tc>
        <w:tc>
          <w:tcPr/>
          <w:p>
            <w:pPr>
              <w:pStyle w:val="Compact"/>
              <w:jc w:val="left"/>
            </w:pPr>
            <w:r>
              <w:t xml:space="preserve">0.381</w:t>
            </w:r>
          </w:p>
        </w:tc>
        <w:tc>
          <w:tcPr/>
          <w:p>
            <w:pPr>
              <w:pStyle w:val="Compact"/>
              <w:jc w:val="left"/>
            </w:pPr>
            <w:r>
              <w:t xml:space="preserve">0.357</w:t>
            </w:r>
          </w:p>
        </w:tc>
      </w:tr>
      <w:tr>
        <w:tc>
          <w:tcPr/>
          <w:p>
            <w:pPr>
              <w:pStyle w:val="Compact"/>
              <w:jc w:val="left"/>
            </w:pPr>
            <w:r>
              <w:t xml:space="preserve">2</w:t>
            </w:r>
          </w:p>
        </w:tc>
        <w:tc>
          <w:tcPr/>
          <w:p>
            <w:pPr>
              <w:pStyle w:val="Compact"/>
              <w:jc w:val="left"/>
            </w:pPr>
            <w:r>
              <w:t xml:space="preserve">0.295</w:t>
            </w:r>
          </w:p>
        </w:tc>
        <w:tc>
          <w:tcPr/>
          <w:p>
            <w:pPr>
              <w:pStyle w:val="Compact"/>
              <w:jc w:val="left"/>
            </w:pPr>
            <w:r>
              <w:t xml:space="preserve">0.297</w:t>
            </w:r>
          </w:p>
        </w:tc>
        <w:tc>
          <w:tcPr/>
          <w:p>
            <w:pPr>
              <w:pStyle w:val="Compact"/>
              <w:jc w:val="left"/>
            </w:pPr>
            <w:r>
              <w:t xml:space="preserve">0.329</w:t>
            </w:r>
          </w:p>
        </w:tc>
        <w:tc>
          <w:tcPr/>
          <w:p>
            <w:pPr>
              <w:pStyle w:val="Compact"/>
              <w:jc w:val="left"/>
            </w:pPr>
            <w:r>
              <w:t xml:space="preserve">0.352</w:t>
            </w:r>
          </w:p>
        </w:tc>
        <w:tc>
          <w:tcPr/>
          <w:p>
            <w:pPr>
              <w:pStyle w:val="Compact"/>
              <w:jc w:val="left"/>
            </w:pPr>
            <w:r>
              <w:t xml:space="preserve">0.321</w:t>
            </w:r>
          </w:p>
        </w:tc>
      </w:tr>
      <w:tr>
        <w:tc>
          <w:tcPr/>
          <w:p>
            <w:pPr>
              <w:pStyle w:val="Compact"/>
              <w:jc w:val="left"/>
            </w:pPr>
            <w:r>
              <w:t xml:space="preserve">3</w:t>
            </w:r>
          </w:p>
        </w:tc>
        <w:tc>
          <w:tcPr/>
          <w:p>
            <w:pPr>
              <w:pStyle w:val="Compact"/>
              <w:jc w:val="left"/>
            </w:pPr>
            <w:r>
              <w:t xml:space="preserve">0.310</w:t>
            </w:r>
          </w:p>
        </w:tc>
        <w:tc>
          <w:tcPr/>
          <w:p>
            <w:pPr>
              <w:pStyle w:val="Compact"/>
              <w:jc w:val="left"/>
            </w:pPr>
            <w:r>
              <w:t xml:space="preserve">0.301</w:t>
            </w:r>
          </w:p>
        </w:tc>
        <w:tc>
          <w:tcPr/>
          <w:p>
            <w:pPr>
              <w:pStyle w:val="Compact"/>
              <w:jc w:val="left"/>
            </w:pPr>
            <w:r>
              <w:t xml:space="preserve">0.322</w:t>
            </w:r>
          </w:p>
        </w:tc>
        <w:tc>
          <w:tcPr/>
          <w:p>
            <w:pPr>
              <w:pStyle w:val="Compact"/>
              <w:jc w:val="left"/>
            </w:pPr>
            <w:r>
              <w:t xml:space="preserve">0.337</w:t>
            </w:r>
          </w:p>
        </w:tc>
        <w:tc>
          <w:tcPr/>
          <w:p>
            <w:pPr>
              <w:pStyle w:val="Compact"/>
              <w:jc w:val="left"/>
            </w:pPr>
            <w:r>
              <w:t xml:space="preserve">0.316</w:t>
            </w:r>
          </w:p>
        </w:tc>
      </w:tr>
      <w:tr>
        <w:tc>
          <w:tcPr/>
          <w:p>
            <w:pPr>
              <w:pStyle w:val="Compact"/>
              <w:jc w:val="left"/>
            </w:pPr>
            <w:r>
              <w:t xml:space="preserve">4</w:t>
            </w:r>
          </w:p>
        </w:tc>
        <w:tc>
          <w:tcPr/>
          <w:p>
            <w:pPr>
              <w:pStyle w:val="Compact"/>
              <w:jc w:val="left"/>
            </w:pPr>
            <w:r>
              <w:t xml:space="preserve">0.276</w:t>
            </w:r>
          </w:p>
        </w:tc>
        <w:tc>
          <w:tcPr/>
          <w:p>
            <w:pPr>
              <w:pStyle w:val="Compact"/>
              <w:jc w:val="left"/>
            </w:pPr>
            <w:r>
              <w:t xml:space="preserve">0.293</w:t>
            </w:r>
          </w:p>
        </w:tc>
        <w:tc>
          <w:tcPr/>
          <w:p>
            <w:pPr>
              <w:pStyle w:val="Compact"/>
              <w:jc w:val="left"/>
            </w:pPr>
            <w:r>
              <w:t xml:space="preserve">0.308</w:t>
            </w:r>
          </w:p>
        </w:tc>
        <w:tc>
          <w:tcPr/>
          <w:p>
            <w:pPr>
              <w:pStyle w:val="Compact"/>
              <w:jc w:val="left"/>
            </w:pPr>
            <w:r>
              <w:t xml:space="preserve">0.332</w:t>
            </w:r>
          </w:p>
        </w:tc>
        <w:tc>
          <w:tcPr/>
          <w:p>
            <w:pPr>
              <w:pStyle w:val="Compact"/>
              <w:jc w:val="left"/>
            </w:pPr>
            <w:r>
              <w:t xml:space="preserve">0.350</w:t>
            </w:r>
          </w:p>
        </w:tc>
      </w:tr>
      <w:tr>
        <w:tc>
          <w:tcPr/>
          <w:p>
            <w:pPr>
              <w:pStyle w:val="Compact"/>
              <w:jc w:val="left"/>
            </w:pPr>
            <w:r>
              <w:t xml:space="preserve">5</w:t>
            </w:r>
          </w:p>
        </w:tc>
        <w:tc>
          <w:tcPr/>
          <w:p>
            <w:pPr>
              <w:pStyle w:val="Compact"/>
              <w:jc w:val="left"/>
            </w:pPr>
            <w:r>
              <w:t xml:space="preserve">0.277</w:t>
            </w:r>
          </w:p>
        </w:tc>
        <w:tc>
          <w:tcPr/>
          <w:p>
            <w:pPr>
              <w:pStyle w:val="Compact"/>
              <w:jc w:val="left"/>
            </w:pPr>
            <w:r>
              <w:t xml:space="preserve">0.275</w:t>
            </w:r>
          </w:p>
        </w:tc>
        <w:tc>
          <w:tcPr/>
          <w:p>
            <w:pPr>
              <w:pStyle w:val="Compact"/>
              <w:jc w:val="left"/>
            </w:pPr>
            <w:r>
              <w:t xml:space="preserve">0.281</w:t>
            </w:r>
          </w:p>
        </w:tc>
        <w:tc>
          <w:tcPr/>
          <w:p>
            <w:pPr>
              <w:pStyle w:val="Compact"/>
              <w:jc w:val="left"/>
            </w:pPr>
            <w:r>
              <w:t xml:space="preserve">0.307</w:t>
            </w:r>
          </w:p>
        </w:tc>
        <w:tc>
          <w:tcPr/>
          <w:p>
            <w:pPr>
              <w:pStyle w:val="Compact"/>
              <w:jc w:val="left"/>
            </w:pPr>
            <w:r>
              <w:t xml:space="preserve">0.301</w:t>
            </w:r>
          </w:p>
        </w:tc>
      </w:tr>
      <w:tr>
        <w:tc>
          <w:tcPr/>
          <w:p>
            <w:pPr>
              <w:pStyle w:val="Compact"/>
              <w:jc w:val="left"/>
            </w:pPr>
            <w:r>
              <w:t xml:space="preserve">6</w:t>
            </w:r>
          </w:p>
        </w:tc>
        <w:tc>
          <w:tcPr/>
          <w:p>
            <w:pPr>
              <w:pStyle w:val="Compact"/>
              <w:jc w:val="left"/>
            </w:pPr>
            <w:r>
              <w:t xml:space="preserve">0.313</w:t>
            </w:r>
          </w:p>
        </w:tc>
        <w:tc>
          <w:tcPr/>
          <w:p>
            <w:pPr>
              <w:pStyle w:val="Compact"/>
              <w:jc w:val="left"/>
            </w:pPr>
            <w:r>
              <w:t xml:space="preserve">0.299</w:t>
            </w:r>
          </w:p>
        </w:tc>
        <w:tc>
          <w:tcPr/>
          <w:p>
            <w:pPr>
              <w:pStyle w:val="Compact"/>
              <w:jc w:val="left"/>
            </w:pPr>
            <w:r>
              <w:t xml:space="preserve">0.300</w:t>
            </w:r>
          </w:p>
        </w:tc>
        <w:tc>
          <w:tcPr/>
          <w:p>
            <w:pPr>
              <w:pStyle w:val="Compact"/>
              <w:jc w:val="left"/>
            </w:pPr>
            <w:r>
              <w:t xml:space="preserve">0.360</w:t>
            </w:r>
          </w:p>
        </w:tc>
        <w:tc>
          <w:tcPr/>
          <w:p>
            <w:pPr>
              <w:pStyle w:val="Compact"/>
              <w:jc w:val="left"/>
            </w:pPr>
            <w:r>
              <w:t xml:space="preserve">0.320</w:t>
            </w:r>
          </w:p>
        </w:tc>
      </w:tr>
      <w:tr>
        <w:tc>
          <w:tcPr/>
          <w:p>
            <w:pPr>
              <w:pStyle w:val="Compact"/>
              <w:jc w:val="left"/>
            </w:pPr>
            <w:r>
              <w:t xml:space="preserve">7</w:t>
            </w:r>
          </w:p>
        </w:tc>
        <w:tc>
          <w:tcPr/>
          <w:p>
            <w:pPr>
              <w:pStyle w:val="Compact"/>
              <w:jc w:val="left"/>
            </w:pPr>
            <w:r>
              <w:t xml:space="preserve">0.320</w:t>
            </w:r>
          </w:p>
        </w:tc>
        <w:tc>
          <w:tcPr/>
          <w:p>
            <w:pPr>
              <w:pStyle w:val="Compact"/>
              <w:jc w:val="left"/>
            </w:pPr>
            <w:r>
              <w:t xml:space="preserve">0.342</w:t>
            </w:r>
          </w:p>
        </w:tc>
        <w:tc>
          <w:tcPr/>
          <w:p>
            <w:pPr>
              <w:pStyle w:val="Compact"/>
              <w:jc w:val="left"/>
            </w:pPr>
            <w:r>
              <w:t xml:space="preserve">0.338</w:t>
            </w:r>
          </w:p>
        </w:tc>
        <w:tc>
          <w:tcPr/>
          <w:p>
            <w:pPr>
              <w:pStyle w:val="Compact"/>
              <w:jc w:val="left"/>
            </w:pPr>
            <w:r>
              <w:t xml:space="preserve">0.348</w:t>
            </w:r>
          </w:p>
        </w:tc>
        <w:tc>
          <w:tcPr/>
          <w:p>
            <w:pPr>
              <w:pStyle w:val="Compact"/>
              <w:jc w:val="left"/>
            </w:pPr>
            <w:r>
              <w:t xml:space="preserve">0.343</w:t>
            </w:r>
          </w:p>
        </w:tc>
      </w:tr>
      <w:tr>
        <w:tc>
          <w:tcPr/>
          <w:p>
            <w:pPr>
              <w:pStyle w:val="Compact"/>
              <w:jc w:val="left"/>
            </w:pPr>
            <w:r>
              <w:t xml:space="preserve">Mean over the eight sets</w:t>
            </w:r>
          </w:p>
        </w:tc>
        <w:tc>
          <w:tcPr/>
          <w:p>
            <w:pPr>
              <w:pStyle w:val="Compact"/>
              <w:jc w:val="left"/>
            </w:pPr>
            <w:r>
              <w:t xml:space="preserve">0.298</w:t>
            </w:r>
          </w:p>
        </w:tc>
        <w:tc>
          <w:tcPr/>
          <w:p>
            <w:pPr>
              <w:pStyle w:val="Compact"/>
              <w:jc w:val="left"/>
            </w:pPr>
            <w:r>
              <w:t xml:space="preserve">0.300</w:t>
            </w:r>
          </w:p>
        </w:tc>
        <w:tc>
          <w:tcPr/>
          <w:p>
            <w:pPr>
              <w:pStyle w:val="Compact"/>
              <w:jc w:val="left"/>
            </w:pPr>
            <w:r>
              <w:t xml:space="preserve">0.312</w:t>
            </w:r>
          </w:p>
        </w:tc>
        <w:tc>
          <w:tcPr/>
          <w:p>
            <w:pPr>
              <w:pStyle w:val="Compact"/>
              <w:jc w:val="left"/>
            </w:pPr>
            <w:r>
              <w:t xml:space="preserve">0.339</w:t>
            </w:r>
          </w:p>
        </w:tc>
        <w:tc>
          <w:tcPr/>
          <w:p>
            <w:pPr>
              <w:pStyle w:val="Compact"/>
              <w:jc w:val="left"/>
            </w:pPr>
            <w:r>
              <w:t xml:space="preserve">0.329</w:t>
            </w:r>
          </w:p>
        </w:tc>
      </w:tr>
      <w:tr>
        <w:tc>
          <w:tcPr/>
          <w:p>
            <w:pPr>
              <w:pStyle w:val="Compact"/>
              <w:jc w:val="left"/>
            </w:pPr>
            <w:r>
              <w:t xml:space="preserve">SD over the eight sets</w:t>
            </w:r>
          </w:p>
        </w:tc>
        <w:tc>
          <w:tcPr/>
          <w:p>
            <w:pPr>
              <w:pStyle w:val="Compact"/>
              <w:jc w:val="left"/>
            </w:pPr>
            <w:r>
              <w:t xml:space="preserve">0.027</w:t>
            </w:r>
          </w:p>
        </w:tc>
        <w:tc>
          <w:tcPr/>
          <w:p>
            <w:pPr>
              <w:pStyle w:val="Compact"/>
              <w:jc w:val="left"/>
            </w:pPr>
            <w:r>
              <w:t xml:space="preserve">0.027</w:t>
            </w:r>
          </w:p>
        </w:tc>
        <w:tc>
          <w:tcPr/>
          <w:p>
            <w:pPr>
              <w:pStyle w:val="Compact"/>
              <w:jc w:val="left"/>
            </w:pPr>
            <w:r>
              <w:t xml:space="preserve">0.029</w:t>
            </w:r>
          </w:p>
        </w:tc>
        <w:tc>
          <w:tcPr/>
          <w:p>
            <w:pPr>
              <w:pStyle w:val="Compact"/>
              <w:jc w:val="left"/>
            </w:pPr>
            <w:r>
              <w:t xml:space="preserve">0.027</w:t>
            </w:r>
          </w:p>
        </w:tc>
        <w:tc>
          <w:tcPr/>
          <w:p>
            <w:pPr>
              <w:pStyle w:val="Compact"/>
              <w:jc w:val="left"/>
            </w:pPr>
            <w:r>
              <w:t xml:space="preserve">0.018</w:t>
            </w:r>
          </w:p>
        </w:tc>
      </w:tr>
      <w:tr>
        <w:tc>
          <w:tcPr/>
          <w:p>
            <w:pPr>
              <w:pStyle w:val="Compact"/>
              <w:jc w:val="left"/>
            </w:pPr>
            <w:r>
              <w:t xml:space="preserve">Mean within-set SD over five seeds</w:t>
            </w:r>
          </w:p>
        </w:tc>
        <w:tc>
          <w:tcPr/>
          <w:p>
            <w:pPr>
              <w:pStyle w:val="Compact"/>
              <w:jc w:val="left"/>
            </w:pPr>
            <w:r>
              <w:t xml:space="preserve">0.020</w:t>
            </w:r>
          </w:p>
        </w:tc>
        <w:tc>
          <w:tcPr/>
          <w:p>
            <w:pPr>
              <w:pStyle w:val="Compact"/>
              <w:jc w:val="left"/>
            </w:pPr>
            <w:r>
              <w:t xml:space="preserve">0.015</w:t>
            </w:r>
          </w:p>
        </w:tc>
        <w:tc>
          <w:tcPr/>
          <w:p>
            <w:pPr>
              <w:pStyle w:val="Compact"/>
              <w:jc w:val="left"/>
            </w:pPr>
            <w:r>
              <w:t xml:space="preserve">0.016</w:t>
            </w:r>
          </w:p>
        </w:tc>
        <w:tc>
          <w:tcPr/>
          <w:p>
            <w:pPr>
              <w:pStyle w:val="Compact"/>
              <w:jc w:val="left"/>
            </w:pPr>
            <w:r>
              <w:t xml:space="preserve">0.018</w:t>
            </w:r>
          </w:p>
        </w:tc>
        <w:tc>
          <w:tcPr/>
          <w:p>
            <w:pPr>
              <w:pStyle w:val="Compact"/>
              <w:jc w:val="left"/>
            </w:pPr>
            <w:r>
              <w:t xml:space="preserve">0.020</w:t>
            </w:r>
          </w:p>
        </w:tc>
      </w:tr>
      <w:tr>
        <w:tc>
          <w:tcPr/>
          <w:p>
            <w:pPr>
              <w:pStyle w:val="Compact"/>
              <w:jc w:val="left"/>
            </w:pPr>
            <w:r>
              <w:t xml:space="preserve">Mean mAP50-95 over the eight sets</w:t>
            </w:r>
          </w:p>
        </w:tc>
        <w:tc>
          <w:tcPr/>
          <w:p>
            <w:pPr>
              <w:pStyle w:val="Compact"/>
              <w:jc w:val="left"/>
            </w:pPr>
            <w:r>
              <w:t xml:space="preserve">0.168</w:t>
            </w:r>
          </w:p>
        </w:tc>
        <w:tc>
          <w:tcPr/>
          <w:p>
            <w:pPr>
              <w:pStyle w:val="Compact"/>
              <w:jc w:val="left"/>
            </w:pPr>
            <w:r>
              <w:t xml:space="preserve">0.171</w:t>
            </w:r>
          </w:p>
        </w:tc>
        <w:tc>
          <w:tcPr/>
          <w:p>
            <w:pPr>
              <w:pStyle w:val="Compact"/>
              <w:jc w:val="left"/>
            </w:pPr>
            <w:r>
              <w:t xml:space="preserve">0.180</w:t>
            </w:r>
          </w:p>
        </w:tc>
        <w:tc>
          <w:tcPr/>
          <w:p>
            <w:pPr>
              <w:pStyle w:val="Compact"/>
              <w:jc w:val="left"/>
            </w:pPr>
            <w:r>
              <w:t xml:space="preserve">0.193</w:t>
            </w:r>
          </w:p>
        </w:tc>
        <w:tc>
          <w:tcPr/>
          <w:p>
            <w:pPr>
              <w:pStyle w:val="Compact"/>
              <w:jc w:val="left"/>
            </w:pPr>
            <w:r>
              <w:t xml:space="preserve">0.193</w:t>
            </w:r>
          </w:p>
        </w:tc>
      </w:tr>
    </w:tbl>
    <w:bookmarkEnd w:id="20"/>
    <w:bookmarkStart w:id="21" w:name="Xc0dd714915770843a600c20b1369584053e8695"/>
    <w:p>
      <w:pPr>
        <w:pStyle w:val="Heading2"/>
      </w:pPr>
      <w:r>
        <w:t xml:space="preserve">Table S9. Prospective test: per-class AP50 of YOLO11n on the Seremban farm</w:t>
      </w:r>
    </w:p>
    <w:p>
      <w:pPr>
        <w:pStyle w:val="FirstParagraph"/>
      </w:pPr>
      <w:r>
        <w:t xml:space="preserve">Averaged over seeds within each model set and then over the eight model sets. The unseen-farm column is the YOLO11n value from Table S2 (mean over the held-out farms that carry the class).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w:t>
            </w:r>
          </w:p>
        </w:tc>
        <w:tc>
          <w:tcPr/>
          <w:p>
            <w:pPr>
              <w:pStyle w:val="Compact"/>
              <w:jc w:val="left"/>
            </w:pPr>
            <w:r>
              <w:t xml:space="preserve">Images on Seremban</w:t>
            </w:r>
          </w:p>
        </w:tc>
        <w:tc>
          <w:tcPr/>
          <w:p>
            <w:pPr>
              <w:pStyle w:val="Compact"/>
              <w:jc w:val="left"/>
            </w:pPr>
            <w:r>
              <w:t xml:space="preserve">Boxes</w:t>
            </w:r>
          </w:p>
        </w:tc>
        <w:tc>
          <w:tcPr/>
          <w:p>
            <w:pPr>
              <w:pStyle w:val="Compact"/>
              <w:jc w:val="left"/>
            </w:pPr>
            <w:r>
              <w:t xml:space="preserve">Seremban AP50</w:t>
            </w:r>
          </w:p>
        </w:tc>
        <w:tc>
          <w:tcPr/>
          <w:p>
            <w:pPr>
              <w:pStyle w:val="Compact"/>
              <w:jc w:val="left"/>
            </w:pPr>
            <w:r>
              <w:t xml:space="preserve">Unseen-farm AP50 (eight farms)</w:t>
            </w:r>
          </w:p>
        </w:tc>
      </w:tr>
      <w:tr>
        <w:tc>
          <w:tcPr/>
          <w:p>
            <w:pPr>
              <w:pStyle w:val="Compact"/>
              <w:jc w:val="left"/>
            </w:pPr>
            <w:r>
              <w:t xml:space="preserve">Algal spot</w:t>
            </w:r>
          </w:p>
        </w:tc>
        <w:tc>
          <w:tcPr/>
          <w:p>
            <w:pPr>
              <w:pStyle w:val="Compact"/>
              <w:jc w:val="left"/>
            </w:pPr>
            <w:r>
              <w:t xml:space="preserve">36</w:t>
            </w:r>
          </w:p>
        </w:tc>
        <w:tc>
          <w:tcPr/>
          <w:p>
            <w:pPr>
              <w:pStyle w:val="Compact"/>
              <w:jc w:val="left"/>
            </w:pPr>
            <w:r>
              <w:t xml:space="preserve">410</w:t>
            </w:r>
          </w:p>
        </w:tc>
        <w:tc>
          <w:tcPr/>
          <w:p>
            <w:pPr>
              <w:pStyle w:val="Compact"/>
              <w:jc w:val="left"/>
            </w:pPr>
            <w:r>
              <w:t xml:space="preserve">0.568</w:t>
            </w:r>
          </w:p>
        </w:tc>
        <w:tc>
          <w:tcPr/>
          <w:p>
            <w:pPr>
              <w:pStyle w:val="Compact"/>
              <w:jc w:val="left"/>
            </w:pPr>
            <w:r>
              <w:t xml:space="preserve">0.254</w:t>
            </w:r>
          </w:p>
        </w:tc>
      </w:tr>
      <w:tr>
        <w:tc>
          <w:tcPr/>
          <w:p>
            <w:pPr>
              <w:pStyle w:val="Compact"/>
              <w:jc w:val="left"/>
            </w:pPr>
            <w:r>
              <w:t xml:space="preserve">Leaf rot</w:t>
            </w:r>
          </w:p>
        </w:tc>
        <w:tc>
          <w:tcPr/>
          <w:p>
            <w:pPr>
              <w:pStyle w:val="Compact"/>
              <w:jc w:val="left"/>
            </w:pPr>
            <w:r>
              <w:t xml:space="preserve">20</w:t>
            </w:r>
          </w:p>
        </w:tc>
        <w:tc>
          <w:tcPr/>
          <w:p>
            <w:pPr>
              <w:pStyle w:val="Compact"/>
              <w:jc w:val="left"/>
            </w:pPr>
            <w:r>
              <w:t xml:space="preserve">44</w:t>
            </w:r>
          </w:p>
        </w:tc>
        <w:tc>
          <w:tcPr/>
          <w:p>
            <w:pPr>
              <w:pStyle w:val="Compact"/>
              <w:jc w:val="left"/>
            </w:pPr>
            <w:r>
              <w:t xml:space="preserve">0.340</w:t>
            </w:r>
          </w:p>
        </w:tc>
        <w:tc>
          <w:tcPr/>
          <w:p>
            <w:pPr>
              <w:pStyle w:val="Compact"/>
              <w:jc w:val="left"/>
            </w:pPr>
            <w:r>
              <w:t xml:space="preserve">0.274</w:t>
            </w:r>
          </w:p>
        </w:tc>
      </w:tr>
      <w:tr>
        <w:tc>
          <w:tcPr/>
          <w:p>
            <w:pPr>
              <w:pStyle w:val="Compact"/>
              <w:jc w:val="left"/>
            </w:pPr>
            <w:r>
              <w:rPr>
                <w:iCs/>
                <w:i/>
              </w:rPr>
              <w:t xml:space="preserve">Phomopsis</w:t>
            </w:r>
          </w:p>
        </w:tc>
        <w:tc>
          <w:tcPr/>
          <w:p>
            <w:pPr>
              <w:pStyle w:val="Compact"/>
              <w:jc w:val="left"/>
            </w:pPr>
            <w:r>
              <w:t xml:space="preserve">24</w:t>
            </w:r>
          </w:p>
        </w:tc>
        <w:tc>
          <w:tcPr/>
          <w:p>
            <w:pPr>
              <w:pStyle w:val="Compact"/>
              <w:jc w:val="left"/>
            </w:pPr>
            <w:r>
              <w:t xml:space="preserve">130</w:t>
            </w:r>
          </w:p>
        </w:tc>
        <w:tc>
          <w:tcPr/>
          <w:p>
            <w:pPr>
              <w:pStyle w:val="Compact"/>
              <w:jc w:val="left"/>
            </w:pPr>
            <w:r>
              <w:t xml:space="preserve">0.182</w:t>
            </w:r>
          </w:p>
        </w:tc>
        <w:tc>
          <w:tcPr/>
          <w:p>
            <w:pPr>
              <w:pStyle w:val="Compact"/>
              <w:jc w:val="left"/>
            </w:pPr>
            <w:r>
              <w:t xml:space="preserve">0.217</w:t>
            </w:r>
          </w:p>
        </w:tc>
      </w:tr>
      <w:tr>
        <w:tc>
          <w:tcPr/>
          <w:p>
            <w:pPr>
              <w:pStyle w:val="Compact"/>
              <w:jc w:val="left"/>
            </w:pPr>
            <w:r>
              <w:t xml:space="preserve">Psyllid</w:t>
            </w:r>
          </w:p>
        </w:tc>
        <w:tc>
          <w:tcPr/>
          <w:p>
            <w:pPr>
              <w:pStyle w:val="Compact"/>
              <w:jc w:val="left"/>
            </w:pPr>
            <w:r>
              <w:t xml:space="preserve">5</w:t>
            </w:r>
          </w:p>
        </w:tc>
        <w:tc>
          <w:tcPr/>
          <w:p>
            <w:pPr>
              <w:pStyle w:val="Compact"/>
              <w:jc w:val="left"/>
            </w:pPr>
            <w:r>
              <w:t xml:space="preserve">35</w:t>
            </w:r>
          </w:p>
        </w:tc>
        <w:tc>
          <w:tcPr/>
          <w:p>
            <w:pPr>
              <w:pStyle w:val="Compact"/>
              <w:jc w:val="left"/>
            </w:pPr>
            <w:r>
              <w:t xml:space="preserve">0.245</w:t>
            </w:r>
          </w:p>
        </w:tc>
        <w:tc>
          <w:tcPr/>
          <w:p>
            <w:pPr>
              <w:pStyle w:val="Compact"/>
              <w:jc w:val="left"/>
            </w:pPr>
            <w:r>
              <w:t xml:space="preserve">0.099</w:t>
            </w:r>
          </w:p>
        </w:tc>
      </w:tr>
      <w:tr>
        <w:tc>
          <w:tcPr/>
          <w:p>
            <w:pPr>
              <w:pStyle w:val="Compact"/>
              <w:jc w:val="left"/>
            </w:pPr>
            <w:r>
              <w:t xml:space="preserve">Psyllid damage</w:t>
            </w:r>
          </w:p>
        </w:tc>
        <w:tc>
          <w:tcPr/>
          <w:p>
            <w:pPr>
              <w:pStyle w:val="Compact"/>
              <w:jc w:val="left"/>
            </w:pPr>
            <w:r>
              <w:t xml:space="preserve">18</w:t>
            </w:r>
          </w:p>
        </w:tc>
        <w:tc>
          <w:tcPr/>
          <w:p>
            <w:pPr>
              <w:pStyle w:val="Compact"/>
              <w:jc w:val="left"/>
            </w:pPr>
            <w:r>
              <w:t xml:space="preserve">178</w:t>
            </w:r>
          </w:p>
        </w:tc>
        <w:tc>
          <w:tcPr/>
          <w:p>
            <w:pPr>
              <w:pStyle w:val="Compact"/>
              <w:jc w:val="left"/>
            </w:pPr>
            <w:r>
              <w:t xml:space="preserve">0.066</w:t>
            </w:r>
          </w:p>
        </w:tc>
        <w:tc>
          <w:tcPr/>
          <w:p>
            <w:pPr>
              <w:pStyle w:val="Compact"/>
              <w:jc w:val="left"/>
            </w:pPr>
            <w:r>
              <w:t xml:space="preserve">0.055</w:t>
            </w:r>
          </w:p>
        </w:tc>
      </w:tr>
      <w:tr>
        <w:tc>
          <w:tcPr/>
          <w:p>
            <w:pPr>
              <w:pStyle w:val="Compact"/>
              <w:jc w:val="left"/>
            </w:pPr>
            <w:r>
              <w:t xml:space="preserve">Leafhopper damage</w:t>
            </w:r>
          </w:p>
        </w:tc>
        <w:tc>
          <w:tcPr/>
          <w:p>
            <w:pPr>
              <w:pStyle w:val="Compact"/>
              <w:jc w:val="left"/>
            </w:pPr>
            <w:r>
              <w:t xml:space="preserve">13</w:t>
            </w:r>
          </w:p>
        </w:tc>
        <w:tc>
          <w:tcPr/>
          <w:p>
            <w:pPr>
              <w:pStyle w:val="Compact"/>
              <w:jc w:val="left"/>
            </w:pPr>
            <w:r>
              <w:t xml:space="preserve">13</w:t>
            </w:r>
          </w:p>
        </w:tc>
        <w:tc>
          <w:tcPr/>
          <w:p>
            <w:pPr>
              <w:pStyle w:val="Compact"/>
              <w:jc w:val="left"/>
            </w:pPr>
            <w:r>
              <w:t xml:space="preserve">0.387</w:t>
            </w:r>
          </w:p>
        </w:tc>
        <w:tc>
          <w:tcPr/>
          <w:p>
            <w:pPr>
              <w:pStyle w:val="Compact"/>
              <w:jc w:val="left"/>
            </w:pPr>
            <w:r>
              <w:t xml:space="preserve">0.371</w:t>
            </w:r>
          </w:p>
        </w:tc>
      </w:tr>
    </w:tbl>
    <w:bookmarkEnd w:id="21"/>
    <w:bookmarkStart w:id="22" w:name="X0fcacc705ef86f913e0f93f0dd476a4c10a4b0f"/>
    <w:p>
      <w:pPr>
        <w:pStyle w:val="Heading2"/>
      </w:pPr>
      <w:r>
        <w:t xml:space="preserve">Note S4. Lock file and procedure of the prospective test</w:t>
      </w:r>
    </w:p>
    <w:p>
      <w:pPr>
        <w:pStyle w:val="FirstParagraph"/>
      </w:pPr>
      <w:r>
        <w:t xml:space="preserve">The prospective test was run in three steps by one script (</w:t>
      </w:r>
      <w:r>
        <w:rPr>
          <w:rStyle w:val="VerbatimChar"/>
        </w:rPr>
        <w:t xml:space="preserve">prospective_seremban.py</w:t>
      </w:r>
      <w:r>
        <w:t xml:space="preserve"> </w:t>
      </w:r>
      <w:r>
        <w:t xml:space="preserve">in the code repository):</w:t>
      </w:r>
      <w:r>
        <w:t xml:space="preserve"> </w:t>
      </w:r>
      <w:r>
        <w:rPr>
          <w:iCs/>
          <w:i/>
        </w:rPr>
        <w:t xml:space="preserve">prepare</w:t>
      </w:r>
      <w:r>
        <w:t xml:space="preserve">, which merged the per-class annotation exports of the Seremban farm into one six-class test set, mapping class names to the training classes and dropping boxes of any class outside the six (one such class, scale insect, occurred; its boxes were removed and the images kept);</w:t>
      </w:r>
      <w:r>
        <w:t xml:space="preserve"> </w:t>
      </w:r>
      <w:r>
        <w:rPr>
          <w:iCs/>
          <w:i/>
        </w:rPr>
        <w:t xml:space="preserve">lock</w:t>
      </w:r>
      <w:r>
        <w:t xml:space="preserve">; and</w:t>
      </w:r>
      <w:r>
        <w:t xml:space="preserve"> </w:t>
      </w:r>
      <w:r>
        <w:rPr>
          <w:iCs/>
          <w:i/>
        </w:rPr>
        <w:t xml:space="preserve">score</w:t>
      </w:r>
      <w:r>
        <w:t xml:space="preserve">.</w:t>
      </w:r>
    </w:p>
    <w:p>
      <w:pPr>
        <w:pStyle w:val="BodyText"/>
      </w:pPr>
      <w:r>
        <w:t xml:space="preserve">The lock step wrote</w:t>
      </w:r>
      <w:r>
        <w:t xml:space="preserve"> </w:t>
      </w:r>
      <w:r>
        <w:rPr>
          <w:rStyle w:val="VerbatimChar"/>
        </w:rPr>
        <w:t xml:space="preserve">prospective_lock.json</w:t>
      </w:r>
      <w:r>
        <w:t xml:space="preserve"> </w:t>
      </w:r>
      <w:r>
        <w:t xml:space="preserve">on 2026-10-15 at 07:56 local time. It records: the SHA-256 hash, path and modification time of each of the 200 weight files (</w:t>
      </w:r>
      <w:r>
        <w:rPr>
          <w:rStyle w:val="VerbatimChar"/>
        </w:rPr>
        <w:t xml:space="preserve">best.pt</w:t>
      </w:r>
      <w:r>
        <w:t xml:space="preserve"> </w:t>
      </w:r>
      <w:r>
        <w:t xml:space="preserve">of the clean-protocol leave-one-farm-out runs of YOLO11n, YOLO11s, YOLO11m, YOLO11l and RT-DETR-L, eight held-out farms × five seeds; the newest weight file predates the Seremban visit); a SHA-256 fingerprint over the names and contents of the 82 images and 82 label files; the class list; the metric definition; the paper values the predictions refer to (Table 2 and the per-farm range of Section 3.2); the four predictions and the P1 threshold (0.3255, the midpoint of 0.223 and 0.428); and a note stating that photographs whose symptoms were too ambiguous to label confidently had been set aside by the author before annotation, 82 being retained, by visual judgement only, that this favours a higher mAP50 and therefore works against P1 (the number taken, 105, is from the camera roll and is not in the lock file). The newest of the 200 weight files is dated 14 September 2026, four weeks before the Seremban visit. The photographs were taken during a field test of the handheld device, by the same person and phone as the main collection. The lock file’s SHA-256 (</w:t>
      </w:r>
      <w:r>
        <w:rPr>
          <w:rStyle w:val="VerbatimChar"/>
        </w:rPr>
        <w:t xml:space="preserve">41060961225e046373774dbece48f1e74e97c4592394718df45bf670fad66869</w:t>
      </w:r>
      <w:r>
        <w:t xml:space="preserve">) was recorded outside the analysis machine before scoring.</w:t>
      </w:r>
    </w:p>
    <w:p>
      <w:pPr>
        <w:pStyle w:val="BodyText"/>
      </w:pPr>
      <w:r>
        <w:t xml:space="preserve">The score step, run at 08:02 the same morning, first recomputed the fingerprint of the test set and the hash of every weight file and would have stopped on any difference; it then evaluated each model once with Ultralytics 8.4.138 (</w:t>
      </w:r>
      <w:r>
        <w:rPr>
          <w:rStyle w:val="VerbatimChar"/>
        </w:rPr>
        <w:t xml:space="preserve">model.val</w:t>
      </w:r>
      <w:r>
        <w:t xml:space="preserve">, image size 640, batch 16, default confidence and IoU thresholds; PyTorch 2.8.0, one NVIDIA RTX 3080 Ti), wrote the per-model table, aggregated seeds within model set and then model sets, and printed the verdict on each prediction against the locked threshold. No parameter of the scoring was changed after the lock, and the test set was scored once.</w:t>
      </w:r>
    </w:p>
    <w:p>
      <w:pPr>
        <w:pStyle w:val="BodyText"/>
      </w:pPr>
      <w:r>
        <w:t xml:space="preserve">Two caveats are inherent in the design. The predictions were set at a coarseness that eight farms can support, so a pass is weak evidence for the exact values of Table 2 and strong evidence only against the random-split figure as a forecast. And setting aside 23 of the 105 photographs before annotation, although it involved no model, selected the clearer images of the farm, so the Seremban score should be read as an upper estimate for that farm; the lock note records this.</w:t>
      </w:r>
    </w:p>
    <w:bookmarkEnd w:id="22"/>
    <w:bookmarkEnd w:id="23"/>
    <w:sectPr>
      <w:footerReference r:id="rId9" w:type="default"/>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cs="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customStyle="1" w:styleId="SourceCode" w:type="paragraph">
    <w:name w:val="Source Code"/>
    <w:basedOn w:val="Normal"/>
    <w:link w:val="VerbatimChar"/>
    <w:pPr>
      <w:wordWrap w:val="off"/>
    </w:pPr>
    <w:rPr>
      <w:rFonts w:ascii="Times New Roman" w:cs="Times New Roman" w:eastAsia="Times New Roman" w:hAnsi="Times New Roman"/>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2026-10-15T14:45:46Z</dcterms:created>
  <dcterms:modified xsi:type="dcterms:W3CDTF">2026-10-15T14:45:46Z</dcterms:modified>
</cp:coreProperties>
</file>

<file path=docProps/custom.xml><?xml version="1.0" encoding="utf-8"?>
<Properties xmlns="http://schemas.openxmlformats.org/officeDocument/2006/custom-properties" xmlns:vt="http://schemas.openxmlformats.org/officeDocument/2006/docPropsVTypes"/>
</file>