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7e47e702a0d6fbe96b211f26cdc5df853ee8f4a"/>
    <w:p>
      <w:pPr>
        <w:pStyle w:val="Heading1"/>
      </w:pPr>
      <w:r>
        <w:t xml:space="preserve">Evaluation-unit sampling can dominate reported machine-learning performance</w:t>
      </w:r>
    </w:p>
    <w:p>
      <w:pPr>
        <w:pStyle w:val="FirstParagraph"/>
      </w:pPr>
      <w:r>
        <w:t xml:space="preserve">Lin Ding Shan</w:t>
      </w:r>
    </w:p>
    <w:p>
      <w:pPr>
        <w:pStyle w:val="BodyText"/>
      </w:pPr>
      <w:r>
        <w:t xml:space="preserve">Faculty of Computer Science (Data Science), UCSI University, Kuala Lumpur, Malaysia · 1002475487@ucsiuniversity.edu.my · ORCID 0009-0009-6031-8479</w:t>
      </w:r>
    </w:p>
    <w:bookmarkStart w:id="20" w:name="abstract"/>
    <w:p>
      <w:pPr>
        <w:pStyle w:val="Heading2"/>
      </w:pPr>
      <w:r>
        <w:t xml:space="preserve">Abstract</w:t>
      </w:r>
    </w:p>
    <w:p>
      <w:pPr>
        <w:pStyle w:val="FirstParagraph"/>
      </w:pPr>
      <w:r>
        <w:t xml:space="preserve">Held-out scores are often read as properties of models. When observations are clustered within farms, patients or participants, a score is also a property of which clusters were withheld. We measure that dependence on four datasets, two modalities and eight model configurations. Partitioning by acquisition unit rather than by item lowers the reported score by 3.7–44.3% relative. Under unit-disjoint evaluation, which unit a score is computed on accounts for 63–89% of the variance in the reported figure, against 0–5% for the configurations tested. That does not unsettle model comparisons indiscriminately: of nine model pairs, the two crossing architecture families keep their ranking on four units, while same-family pairs reverse on 8–46% of draws at the unit counts a five-fold design leaves. Four things should accompany such a score — the training and evaluation unit counts, the dispersion across units, and whether units or items are weighted.</w:t>
      </w:r>
    </w:p>
    <w:bookmarkEnd w:id="20"/>
    <w:bookmarkStart w:id="21" w:name="main"/>
    <w:p>
      <w:pPr>
        <w:pStyle w:val="Heading2"/>
      </w:pPr>
      <w:r>
        <w:t xml:space="preserve">Main</w:t>
      </w:r>
    </w:p>
    <w:p>
      <w:pPr>
        <w:pStyle w:val="FirstParagraph"/>
      </w:pPr>
      <w:r>
        <w:t xml:space="preserve">A model is evaluated by withholding part of the data and scoring what was withheld, and the score is read as a property of the model. For that reading to be safe the withheld items must resemble the population the model will meet, and the unit over which they were sampled must match the unit over which generalisation is being claimed.</w:t>
      </w:r>
    </w:p>
    <w:p>
      <w:pPr>
        <w:pStyle w:val="BodyText"/>
      </w:pPr>
      <w:r>
        <w:t xml:space="preserve">Neither holds when data are collected in bouts — in clusters, in the sense the word carries in the statistics of grouped data. A grower photographs one leaf from several angles; a laboratory sections one patient’s tumour into dozens of fields; a volunteer wears an accelerometer for an afternoon and generates hundreds of windows. Items within a bout share far more than their label — a leaf, a stain batch, a gait, a device — so splitting at random places near-copies on both sides of the boundary and a model can score well by recognising the bout. Splitting by bout removes that, and exposes a second problem. The score then depends on which bouts were withheld.</w:t>
      </w:r>
    </w:p>
    <w:p>
      <w:pPr>
        <w:pStyle w:val="BodyText"/>
      </w:pPr>
      <w:r>
        <w:t xml:space="preserve">The first problem is well documented. In medical imaging and physiological signal analysis it is called identity confounding, and subject-wise partitioning is routine [7–11]; Kapoor and Narayanan place it within a taxonomy of leakage across machine-learning-based science [12]. In agricultural vision the Global Wheat Head Detection (GWHD) dataset groups images by acquisition session and rejects random splitting explicitly [3–5], and WILDS adopts it as a domain-generalisation benchmark [6]. The statistics of the second are also established: with clustered data the precision is constrained by the number of independent clusters and the dependence within them even when the item count is large, and both reporting guidance for clustered prediction models [26] and recent work on confidence intervals for clustered evaluation [27] treat between-cluster variation as the dominant uncertainty. Bouthillier et al. found the data-sampling component of benchmark variance large relative to what is usually reported [28], and Varoquaux showed that small evaluation samples carry error bars wide enough to reverse conclusions [29].</w:t>
      </w:r>
    </w:p>
    <w:p>
      <w:pPr>
        <w:pStyle w:val="BodyText"/>
      </w:pPr>
      <w:r>
        <w:t xml:space="preserve">What remains poorly quantified across real machine-learning benchmarks is how these two facts combine. Once leakage is removed, how much of a reported score is attributable to which independent units were withheld, relative to the choice of model and to training randomness? Does the ranking of hard units survive a change of model family? And at a fixed number of training items, does increasing the number of units they come from stabilise the estimate, raise it, or both? These are empirical questions about an estimand — what a held-out number actually estimates — and what a reader of a benchmark table needs answered before treating a score as a model property.</w:t>
      </w:r>
    </w:p>
    <w:p>
      <w:pPr>
        <w:pStyle w:val="BodyText"/>
      </w:pPr>
      <w:r>
        <w:t xml:space="preserve">We answer them on four datasets spanning images and inertial time series, three disciplines and eight architectures (Table 1). The statistical weight rests on the three public corpora, with 47, 81 and 30 independent units; the eight-farm durian corpus is an extreme illustration, not the main evidence. On each we compare item-level with unit-level partitioning, decompose the variance of the reported figure, score every unit with weights trained without it, and vary the number of contributing units at both ends at fixed training-set size. We also report three faults found inside our own pipeline, and quantify one of them instead of only declaring it.</w:t>
      </w:r>
    </w:p>
    <w:bookmarkEnd w:id="21"/>
    <w:bookmarkStart w:id="22" w:name="results"/>
    <w:p>
      <w:pPr>
        <w:pStyle w:val="Heading2"/>
      </w:pPr>
      <w:r>
        <w:t xml:space="preserve">Results</w:t>
      </w:r>
    </w:p>
    <w:p>
      <w:pPr>
        <w:pStyle w:val="FirstParagraph"/>
      </w:pPr>
      <w:r>
        <w:rPr>
          <w:bCs/>
          <w:b/>
        </w:rPr>
        <w:t xml:space="preserve">Four datasets, four evaluation units, eight architectures.</w:t>
      </w:r>
      <w:r>
        <w:t xml:space="preserve"> </w:t>
      </w:r>
      <w:r>
        <w:t xml:space="preserve">Table 1 summarises the design. The durian corpus is our own: 1,314 photographs from eight farms in Peninsular Malaysia and two orchards 1,800 km away, annotated at lesion level against a field standard set by a crop-protection practitioner (Methods). The other three are public, chosen because the unit is unambiguous and recorded. Two datasets span model families — durian, comparing three CNN detector capacities with a detection transformer, and HAR, a perceptron with a random forest sharing only its input features — and both return small model components, so the result does not rest on comparing near-identical models. On GWHD and BreaKHis the two levels are capacities within one family, so the model component is a lower bound, and the decomposition describes the roster tested instead of estimating over all architectures. Under random item-level splitting, every unit appears on both sides of the boundary.</w:t>
      </w:r>
    </w:p>
    <w:p>
      <w:pPr>
        <w:pStyle w:val="BodyText"/>
      </w:pPr>
      <w:r>
        <w:rPr>
          <w:bCs/>
          <w:b/>
        </w:rPr>
        <w:t xml:space="preserve">Table 1 | Datasets, units and models.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Dataset</w:t>
            </w:r>
          </w:p>
        </w:tc>
        <w:tc>
          <w:tcPr/>
          <w:p>
            <w:pPr>
              <w:pStyle w:val="Compact"/>
              <w:jc w:val="left"/>
            </w:pPr>
            <w:r>
              <w:t xml:space="preserve">Modality</w:t>
            </w:r>
          </w:p>
        </w:tc>
        <w:tc>
          <w:tcPr/>
          <w:p>
            <w:pPr>
              <w:pStyle w:val="Compact"/>
              <w:jc w:val="left"/>
            </w:pPr>
            <w:r>
              <w:t xml:space="preserve">Task</w:t>
            </w:r>
          </w:p>
        </w:tc>
        <w:tc>
          <w:tcPr/>
          <w:p>
            <w:pPr>
              <w:pStyle w:val="Compact"/>
              <w:jc w:val="left"/>
            </w:pPr>
            <w:r>
              <w:t xml:space="preserve">Unit</w:t>
            </w:r>
          </w:p>
        </w:tc>
        <w:tc>
          <w:tcPr/>
          <w:p>
            <w:pPr>
              <w:pStyle w:val="Compact"/>
              <w:jc w:val="left"/>
            </w:pPr>
            <w:r>
              <w:t xml:space="preserve">Units</w:t>
            </w:r>
          </w:p>
        </w:tc>
        <w:tc>
          <w:tcPr/>
          <w:p>
            <w:pPr>
              <w:pStyle w:val="Compact"/>
              <w:jc w:val="left"/>
            </w:pPr>
            <w:r>
              <w:t xml:space="preserve">Items</w:t>
            </w:r>
          </w:p>
        </w:tc>
        <w:tc>
          <w:tcPr/>
          <w:p>
            <w:pPr>
              <w:pStyle w:val="Compact"/>
              <w:jc w:val="left"/>
            </w:pPr>
            <w:r>
              <w:t xml:space="preserve">Models</w:t>
            </w:r>
          </w:p>
        </w:tc>
        <w:tc>
          <w:tcPr/>
          <w:p>
            <w:pPr>
              <w:pStyle w:val="Compact"/>
              <w:jc w:val="left"/>
            </w:pPr>
            <w:r>
              <w:t xml:space="preserve">Runs</w:t>
            </w:r>
          </w:p>
        </w:tc>
      </w:tr>
      <w:tr>
        <w:tc>
          <w:tcPr/>
          <w:p>
            <w:pPr>
              <w:pStyle w:val="Compact"/>
              <w:jc w:val="left"/>
            </w:pPr>
            <w:r>
              <w:t xml:space="preserve">Durian</w:t>
            </w:r>
          </w:p>
        </w:tc>
        <w:tc>
          <w:tcPr/>
          <w:p>
            <w:pPr>
              <w:pStyle w:val="Compact"/>
              <w:jc w:val="left"/>
            </w:pPr>
            <w:r>
              <w:t xml:space="preserve">Images</w:t>
            </w:r>
          </w:p>
        </w:tc>
        <w:tc>
          <w:tcPr/>
          <w:p>
            <w:pPr>
              <w:pStyle w:val="Compact"/>
              <w:jc w:val="left"/>
            </w:pPr>
            <w:r>
              <w:t xml:space="preserve">Detection, 6 classes</w:t>
            </w:r>
          </w:p>
        </w:tc>
        <w:tc>
          <w:tcPr/>
          <w:p>
            <w:pPr>
              <w:pStyle w:val="Compact"/>
              <w:jc w:val="left"/>
            </w:pPr>
            <w:r>
              <w:t xml:space="preserve">Farm</w:t>
            </w:r>
          </w:p>
        </w:tc>
        <w:tc>
          <w:tcPr/>
          <w:p>
            <w:pPr>
              <w:pStyle w:val="Compact"/>
              <w:jc w:val="left"/>
            </w:pPr>
            <w:r>
              <w:t xml:space="preserve">8</w:t>
            </w:r>
          </w:p>
        </w:tc>
        <w:tc>
          <w:tcPr/>
          <w:p>
            <w:pPr>
              <w:pStyle w:val="Compact"/>
              <w:jc w:val="left"/>
            </w:pPr>
            <w:r>
              <w:t xml:space="preserve">827</w:t>
            </w:r>
          </w:p>
        </w:tc>
        <w:tc>
          <w:tcPr/>
          <w:p>
            <w:pPr>
              <w:pStyle w:val="Compact"/>
              <w:jc w:val="left"/>
            </w:pPr>
            <w:r>
              <w:t xml:space="preserve">YOLO11n/s/m, RT-DETR-L</w:t>
            </w:r>
          </w:p>
        </w:tc>
        <w:tc>
          <w:tcPr/>
          <w:p>
            <w:pPr>
              <w:pStyle w:val="Compact"/>
              <w:jc w:val="left"/>
            </w:pPr>
            <w:r>
              <w:t xml:space="preserve">180</w:t>
            </w:r>
          </w:p>
        </w:tc>
      </w:tr>
      <w:tr>
        <w:tc>
          <w:tcPr/>
          <w:p>
            <w:pPr>
              <w:pStyle w:val="Compact"/>
              <w:jc w:val="left"/>
            </w:pPr>
            <w:r>
              <w:t xml:space="preserve">GWHD 2021</w:t>
            </w:r>
          </w:p>
        </w:tc>
        <w:tc>
          <w:tcPr/>
          <w:p>
            <w:pPr>
              <w:pStyle w:val="Compact"/>
              <w:jc w:val="left"/>
            </w:pPr>
            <w:r>
              <w:t xml:space="preserve">Images</w:t>
            </w:r>
          </w:p>
        </w:tc>
        <w:tc>
          <w:tcPr/>
          <w:p>
            <w:pPr>
              <w:pStyle w:val="Compact"/>
              <w:jc w:val="left"/>
            </w:pPr>
            <w:r>
              <w:t xml:space="preserve">Detection, 1 class</w:t>
            </w:r>
          </w:p>
        </w:tc>
        <w:tc>
          <w:tcPr/>
          <w:p>
            <w:pPr>
              <w:pStyle w:val="Compact"/>
              <w:jc w:val="left"/>
            </w:pPr>
            <w:r>
              <w:t xml:space="preserve">Acquisition session</w:t>
            </w:r>
          </w:p>
        </w:tc>
        <w:tc>
          <w:tcPr/>
          <w:p>
            <w:pPr>
              <w:pStyle w:val="Compact"/>
              <w:jc w:val="left"/>
            </w:pPr>
            <w:r>
              <w:t xml:space="preserve">47</w:t>
            </w:r>
          </w:p>
        </w:tc>
        <w:tc>
          <w:tcPr/>
          <w:p>
            <w:pPr>
              <w:pStyle w:val="Compact"/>
              <w:jc w:val="left"/>
            </w:pPr>
            <w:r>
              <w:t xml:space="preserve">6,510</w:t>
            </w:r>
          </w:p>
        </w:tc>
        <w:tc>
          <w:tcPr/>
          <w:p>
            <w:pPr>
              <w:pStyle w:val="Compact"/>
              <w:jc w:val="left"/>
            </w:pPr>
            <w:r>
              <w:t xml:space="preserve">YOLO11s, YOLO11n</w:t>
            </w:r>
          </w:p>
        </w:tc>
        <w:tc>
          <w:tcPr/>
          <w:p>
            <w:pPr>
              <w:pStyle w:val="Compact"/>
              <w:jc w:val="left"/>
            </w:pPr>
            <w:r>
              <w:t xml:space="preserve">59</w:t>
            </w:r>
          </w:p>
        </w:tc>
      </w:tr>
      <w:tr>
        <w:tc>
          <w:tcPr/>
          <w:p>
            <w:pPr>
              <w:pStyle w:val="Compact"/>
              <w:jc w:val="left"/>
            </w:pPr>
            <w:r>
              <w:t xml:space="preserve">BreaKHis</w:t>
            </w:r>
          </w:p>
        </w:tc>
        <w:tc>
          <w:tcPr/>
          <w:p>
            <w:pPr>
              <w:pStyle w:val="Compact"/>
              <w:jc w:val="left"/>
            </w:pPr>
            <w:r>
              <w:t xml:space="preserve">Images</w:t>
            </w:r>
          </w:p>
        </w:tc>
        <w:tc>
          <w:tcPr/>
          <w:p>
            <w:pPr>
              <w:pStyle w:val="Compact"/>
              <w:jc w:val="left"/>
            </w:pPr>
            <w:r>
              <w:t xml:space="preserve">Classification, 2 classes</w:t>
            </w:r>
          </w:p>
        </w:tc>
        <w:tc>
          <w:tcPr/>
          <w:p>
            <w:pPr>
              <w:pStyle w:val="Compact"/>
              <w:jc w:val="left"/>
            </w:pPr>
            <w:r>
              <w:t xml:space="preserve">Patient</w:t>
            </w:r>
          </w:p>
        </w:tc>
        <w:tc>
          <w:tcPr/>
          <w:p>
            <w:pPr>
              <w:pStyle w:val="Compact"/>
              <w:jc w:val="left"/>
            </w:pPr>
            <w:r>
              <w:t xml:space="preserve">81</w:t>
            </w:r>
          </w:p>
        </w:tc>
        <w:tc>
          <w:tcPr/>
          <w:p>
            <w:pPr>
              <w:pStyle w:val="Compact"/>
              <w:jc w:val="left"/>
            </w:pPr>
            <w:r>
              <w:t xml:space="preserve">7,909</w:t>
            </w:r>
          </w:p>
        </w:tc>
        <w:tc>
          <w:tcPr/>
          <w:p>
            <w:pPr>
              <w:pStyle w:val="Compact"/>
              <w:jc w:val="left"/>
            </w:pPr>
            <w:r>
              <w:t xml:space="preserve">YOLO11s-cls, YOLO11n-cls</w:t>
            </w:r>
          </w:p>
        </w:tc>
        <w:tc>
          <w:tcPr/>
          <w:p>
            <w:pPr>
              <w:pStyle w:val="Compact"/>
              <w:jc w:val="left"/>
            </w:pPr>
            <w:r>
              <w:t xml:space="preserve">100</w:t>
            </w:r>
          </w:p>
        </w:tc>
      </w:tr>
      <w:tr>
        <w:tc>
          <w:tcPr/>
          <w:p>
            <w:pPr>
              <w:pStyle w:val="Compact"/>
              <w:jc w:val="left"/>
            </w:pPr>
            <w:r>
              <w:t xml:space="preserve">UCI HAR</w:t>
            </w:r>
          </w:p>
        </w:tc>
        <w:tc>
          <w:tcPr/>
          <w:p>
            <w:pPr>
              <w:pStyle w:val="Compact"/>
              <w:jc w:val="left"/>
            </w:pPr>
            <w:r>
              <w:t xml:space="preserve">Inertial series</w:t>
            </w:r>
          </w:p>
        </w:tc>
        <w:tc>
          <w:tcPr/>
          <w:p>
            <w:pPr>
              <w:pStyle w:val="Compact"/>
              <w:jc w:val="left"/>
            </w:pPr>
            <w:r>
              <w:t xml:space="preserve">Classification, 6 classes</w:t>
            </w:r>
          </w:p>
        </w:tc>
        <w:tc>
          <w:tcPr/>
          <w:p>
            <w:pPr>
              <w:pStyle w:val="Compact"/>
              <w:jc w:val="left"/>
            </w:pPr>
            <w:r>
              <w:t xml:space="preserve">Subject</w:t>
            </w:r>
          </w:p>
        </w:tc>
        <w:tc>
          <w:tcPr/>
          <w:p>
            <w:pPr>
              <w:pStyle w:val="Compact"/>
              <w:jc w:val="left"/>
            </w:pPr>
            <w:r>
              <w:t xml:space="preserve">30</w:t>
            </w:r>
          </w:p>
        </w:tc>
        <w:tc>
          <w:tcPr/>
          <w:p>
            <w:pPr>
              <w:pStyle w:val="Compact"/>
              <w:jc w:val="left"/>
            </w:pPr>
            <w:r>
              <w:t xml:space="preserve">10,299</w:t>
            </w:r>
          </w:p>
        </w:tc>
        <w:tc>
          <w:tcPr/>
          <w:p>
            <w:pPr>
              <w:pStyle w:val="Compact"/>
              <w:jc w:val="left"/>
            </w:pPr>
            <w:r>
              <w:t xml:space="preserve">MLP, random forest</w:t>
            </w:r>
          </w:p>
        </w:tc>
        <w:tc>
          <w:tcPr/>
          <w:p>
            <w:pPr>
              <w:pStyle w:val="Compact"/>
              <w:jc w:val="left"/>
            </w:pPr>
            <w:r>
              <w:t xml:space="preserve">100</w:t>
            </w:r>
          </w:p>
        </w:tc>
      </w:tr>
    </w:tbl>
    <w:p>
      <w:pPr>
        <w:pStyle w:val="BodyText"/>
      </w:pPr>
      <w:r>
        <w:rPr>
          <w:bCs/>
          <w:b/>
        </w:rPr>
        <w:t xml:space="preserve">Partitioning by unit lowers the reported score by 3.7–44.3%.</w:t>
      </w:r>
      <w:r>
        <w:t xml:space="preserve"> </w:t>
      </w:r>
      <w:r>
        <w:t xml:space="preserve">Across the ten dataset–model combinations (Supplementary Table 2), the drop is 37.4–44.3% on durian (mAP50 0.46–0.53 → 0.28–0.31), 19.6–22.4% on GWHD, 8.0–8.7% on BreaKHis (top-1) and 3.7–4.5% on HAR (macro F1). Within a dataset it is nearly invariant to the model; across datasets it spans an order of magnitude and follows the coefficient of variation across units (0.75, 0.27, 0.19, 0.06) rather than their standard deviation, which is not monotone in it. On the three five-fold datasets the two regimes train on the same number of items; on durian the unit-level folds train on 3 to 16%</w:t>
      </w:r>
      <w:r>
        <w:t xml:space="preserve"> </w:t>
      </w:r>
      <w:r>
        <w:rPr>
          <w:iCs/>
          <w:i/>
        </w:rPr>
        <w:t xml:space="preserve">more</w:t>
      </w:r>
      <w:r>
        <w:t xml:space="preserve">, so the largest drop is measured against the better-resourced arm. Near the ceiling the percentage understates the effect. On BreaKHis the error rate rises from 0.69% to 9.37%, a factor of 13.5, and on HAR, where accuracy is the decomposable metric, 4.2-fold. The dispersion moves the other way and by more, the standard deviation across folds being 9 to 25 times the item-level value. An item-level protocol does not only report a higher number; it reports it with a false precision.</w:t>
      </w:r>
    </w:p>
    <w:p>
      <w:pPr>
        <w:pStyle w:val="BodyText"/>
      </w:pPr>
      <w:r>
        <w:rPr>
          <w:bCs/>
          <w:b/>
        </w:rPr>
        <w:t xml:space="preserve">Scored one unit at a time, every dataset shows wide, consequential variation.</w:t>
      </w:r>
      <w:r>
        <w:t xml:space="preserve"> </w:t>
      </w:r>
      <w:r>
        <w:t xml:space="preserve">Each unit was scored with the fold that withheld it from training (Fig. 1; Supplementary Table 8). The 58 durian capture bursts run from 0.000 to 0.995; the 47 GWHD sessions from 0.173 to 0.767 inside a pooled 0.519; the 81 BreaKHis patients from 0.062 to 1.000 around a pooled 0.906; macro F1 over the 30 HAR subjects from 0.756 to 0.998. The ranking is stable across models. Patient rankings under the two BreaKHis classifiers correlate at ρ = 0.90 and subject rankings under the HAR perceptron and forest at ρ = 0.76, and both pairs agree on the hardest unit. Part of any per-unit range is metric noise on a small unit, since units with as few as five items are scored. Raising that threshold does not remove the dispersion. At a minimum of 50 items the standard deviation across units is 97% of its five-item value on GWHD, 102% on BreaKHis and unchanged on HAR; on durian, where the small units are, the sweep is least conclusive (Supplementary Table 15).</w:t>
      </w:r>
    </w:p>
    <w:p>
      <w:pPr>
        <w:pStyle w:val="BodyText"/>
      </w:pPr>
      <w:r>
        <w:t xml:space="preserve">The same weights scored at two granularities in two regions agree to 0.004 in mean and differ 4.5-fold in dispersion. The Sabah trees sit under one manager and were photographed across four days, while the peninsular farms are separate operations visited across eight months. Sabah and the mean withheld peninsular farm score within 0.005 of each other under every architecture, so crossing 1,800 km costs about what withholding a neighbouring farm costs (Supplementary Table 13). In this comparison the distant score matched the average withheld local farm; the design does not separate distance from management or season, so it bounds the cross-region penalty rather than attributing it.</w:t>
      </w:r>
    </w:p>
    <w:p>
      <w:pPr>
        <w:pStyle w:val="BodyText"/>
      </w:pPr>
      <w:r>
        <w:rPr>
          <w:bCs/>
          <w:b/>
        </w:rPr>
        <w:t xml:space="preserve">The held-out sample against the model.</w:t>
      </w:r>
      <w:r>
        <w:t xml:space="preserve"> </w:t>
      </w:r>
      <w:r>
        <w:t xml:space="preserve">Every dataset with two or more models was trained on every fold with every seed, one GWHD run excepted, so the variance of the reported figure can be decomposed by expected mean squares (Fig. 2; Supplementary Table 5). On durian, where a fold is a single farm, the withheld farm accounts for 88.9% of the variance against 1.1% for the model, 5.3% for their interaction and 4.7% for the seed, though with eight farms the bootstrap interval is wide (Fig. 2). On BreaKHis, HAR and GWHD a fold is a unit-disjoint group rather than a single unit, so the crossed decomposition of fold-aggregate scores gives the composition of the held-out sample: 78.7% against 0.4% for the model on BreaKHis, 56.1% against 14.6% on HAR. A hierarchical model fitted to the per-unit scores, with units nested within folds, separates what the crossed design conflates: which units were withheld from training, and which of them a score is computed on (Supplementary Table 14). The unit-within-fold component is 86.8% on BreaKHis, 81.8% on HAR and 62.9% on GWHD, against 0.0–5.1% for the model and 0.0–4.0% for the fold, the latter estimated with intervals wide enough to include zero, which bounds it rather than showing it to be absent. Which unit is scored dominates on all four datasets, more clearly than the fold-level analysis suggests.</w:t>
      </w:r>
    </w:p>
    <w:p>
      <w:pPr>
        <w:pStyle w:val="BodyText"/>
      </w:pPr>
      <w:r>
        <w:t xml:space="preserve">Three controls show the share is not an artefact of the design. With two models rather than four the farm share is 86.4% and the model share 4.4%, so a larger roster of similar models lowers the model share. On a single class, which removes the class-composition differences between farms, the shares are 84.9% and 0.0% on Leaf_rot and 97.9% and 0.2% on Algal; and within each BreaKHis label, whose folds were likewise not class-balanced, the unit component is 69.5% among 24 benign and 82.4% among 57 malignant patients. The ranking of farms is largely preserved across the four durian detectors (mean pairwise Spearman ρ = 0.94): all four place farm 1 first and three of four place farm 6 last (Supplementary Table 10). Which site a model fails on is therefore substantially a property of the site.</w:t>
      </w:r>
    </w:p>
    <w:p>
      <w:pPr>
        <w:pStyle w:val="BodyText"/>
      </w:pPr>
      <w:r>
        <w:t xml:space="preserve">GWHD reverses at fold level. There the seed accounts for 61.2% and the held-out fold for 38.8%, and the same withheld sessions under three seeds return scores as far apart as 0.40 and 0.60, in the worst case 0.23 and 0.58. About a fifth of it is checkpoint selection, quantified below; the remainder is unexplained here, and is consistent with training instability on a task where each fold trains on 37 or 38 sessions and is scored on nine or ten. It does not survive at unit level. There the seed main effect is 2.9% and the variability reappears as a seed × unit interaction, because a seed reorders which sessions a fold does well on instead of moving the fold. Across the families and capacities examined, then, variation in the evaluation sample generally exceeded variation attributable to the model.</w:t>
      </w:r>
    </w:p>
    <w:p>
      <w:pPr>
        <w:pStyle w:val="BodyText"/>
      </w:pPr>
      <w:r>
        <w:rPr>
          <w:bCs/>
          <w:b/>
        </w:rPr>
        <w:t xml:space="preserve">How many units are enough.</w:t>
      </w:r>
      <w:r>
        <w:t xml:space="preserve"> </w:t>
      </w:r>
      <w:r>
        <w:t xml:space="preserve">Holding training items fixed and varying only how many units they came from separates</w:t>
      </w:r>
      <w:r>
        <w:t xml:space="preserve"> </w:t>
      </w:r>
      <w:r>
        <w:t xml:space="preserve">“</w:t>
      </w:r>
      <w:r>
        <w:t xml:space="preserve">more data</w:t>
      </w:r>
      <w:r>
        <w:t xml:space="preserve">”</w:t>
      </w:r>
      <w:r>
        <w:t xml:space="preserve"> </w:t>
      </w:r>
      <w:r>
        <w:t xml:space="preserve">from</w:t>
      </w:r>
      <w:r>
        <w:t xml:space="preserve"> </w:t>
      </w:r>
      <w:r>
        <w:t xml:space="preserve">“</w:t>
      </w:r>
      <w:r>
        <w:t xml:space="preserve">more sites</w:t>
      </w:r>
      <w:r>
        <w:t xml:space="preserve">”</w:t>
      </w:r>
      <w:r>
        <w:t xml:space="preserve"> </w:t>
      </w:r>
      <w:r>
        <w:t xml:space="preserve">(Fig. 3; Supplementary Table 7). The spread across draws falls in every dataset tested: 3.8-fold on durian from one farm to six, 5.9-fold on GWHD from four sessions to 38, 6.4- and 2.9-fold on HAR from four subjects to 24. The expected score behaves differently. It rises 61.5% on durian and 6.6% and 4.8% on HAR, and shows no monotone trend on GWHD. The difference follows from how internally varied a unit is: a durian farm is one manager, one cultivar mix and one visit, while a GWHD session already mixes location, genotype, growth stage and sensor. The same ordering governs where draw-to-draw variation falls below seed-to-seed variation — six farms, around sixteen sessions, twenty-four subjects, on two seeds per draw and with the smallest unit counts resting on few surviving draws — so a dataset cannot borrow another’s answer.</w:t>
      </w:r>
    </w:p>
    <w:p>
      <w:pPr>
        <w:pStyle w:val="BodyText"/>
      </w:pPr>
      <w:r>
        <w:rPr>
          <w:bCs/>
          <w:b/>
        </w:rPr>
        <w:t xml:space="preserve">How far a score moves when the evaluation units change.</w:t>
      </w:r>
      <w:r>
        <w:t xml:space="preserve"> </w:t>
      </w:r>
      <w:r>
        <w:t xml:space="preserve">The same question at the other end is how much a reported figure depends on which units it was computed on. Drawing</w:t>
      </w:r>
      <w:r>
        <w:t xml:space="preserve"> </w:t>
      </w:r>
      <w:r>
        <w:rPr>
          <w:iCs/>
          <w:i/>
        </w:rPr>
        <w:t xml:space="preserve">k</w:t>
      </w:r>
      <w:r>
        <w:t xml:space="preserve"> </w:t>
      </w:r>
      <w:r>
        <w:t xml:space="preserve">units without replacement from each pool and recomputing the equal-weight aggregate, 2,000 times, the central 90% range of subset scores narrows from 0.80 at</w:t>
      </w:r>
      <w:r>
        <w:t xml:space="preserve"> </w:t>
      </w:r>
      <w:r>
        <w:rPr>
          <w:iCs/>
          <w:i/>
        </w:rPr>
        <w:t xml:space="preserve">k</w:t>
      </w:r>
      <w:r>
        <w:t xml:space="preserve"> </w:t>
      </w:r>
      <w:r>
        <w:t xml:space="preserve">= 1 to 0.18 at</w:t>
      </w:r>
      <w:r>
        <w:t xml:space="preserve"> </w:t>
      </w:r>
      <w:r>
        <w:rPr>
          <w:iCs/>
          <w:i/>
        </w:rPr>
        <w:t xml:space="preserve">k</w:t>
      </w:r>
      <w:r>
        <w:t xml:space="preserve"> </w:t>
      </w:r>
      <w:r>
        <w:t xml:space="preserve">= 16 on durian bursts, 0.40 to 0.09 on sessions, 0.44 to 0.13 on patients and 0.13 to 0.03 on subjects (Supplementary Table 9). This is variation within the observed pool of units, not a confidence interval for a new farm or patient; sampling without replacement forces the range to zero once the whole pool is drawn, so it bounds how much the figure would have moved had a different subset been reported, and no more. Even read that narrowly it is large. A wheat figure computed on the nine or ten sessions a five-fold design leaves sits in a range about 0.13 wide, a quarter of the figure itself. Training-unit count and evaluation-unit count are therefore not interchangeable: the first changed the expected score on two of three datasets, the second cannot change it by construction, and neither is visible in a single reported number.</w:t>
      </w:r>
    </w:p>
    <w:p>
      <w:pPr>
        <w:pStyle w:val="BodyText"/>
      </w:pPr>
      <w:r>
        <w:rPr>
          <w:bCs/>
          <w:b/>
        </w:rPr>
        <w:t xml:space="preserve">When does the evaluation sample change which model wins?</w:t>
      </w:r>
      <w:r>
        <w:t xml:space="preserve"> </w:t>
      </w:r>
      <w:r>
        <w:t xml:space="preserve">A large unit component does not by itself make model comparisons unreliable (Fig. 4). If one model beats another by the same margin on every unit, the unit main effect can be enormous and the comparison still stable. What matters is the paired difference between two models on the same unit, relative to how much that difference varies across units. Writing</w:t>
      </w:r>
      <w:r>
        <w:t xml:space="preserve"> </w:t>
      </w:r>
      <w:r>
        <w:rPr>
          <w:iCs/>
          <w:i/>
        </w:rPr>
        <w:t xml:space="preserve">d</w:t>
      </w:r>
      <w:r>
        <w:t xml:space="preserve"> </w:t>
      </w:r>
      <w:r>
        <w:t xml:space="preserve">for the mean paired difference divided by its standard deviation across units, the nine model pairs available here span</w:t>
      </w:r>
      <w:r>
        <w:t xml:space="preserve"> </w:t>
      </w:r>
      <w:r>
        <w:rPr>
          <w:iCs/>
          <w:i/>
        </w:rPr>
        <w:t xml:space="preserve">d</w:t>
      </w:r>
      <w:r>
        <w:t xml:space="preserve"> </w:t>
      </w:r>
      <w:r>
        <w:t xml:space="preserve">= 0.02 to 0.95 (Supplementary Table 16).</w:t>
      </w:r>
    </w:p>
    <w:p>
      <w:pPr>
        <w:pStyle w:val="BodyText"/>
      </w:pPr>
      <w:r>
        <w:t xml:space="preserve">Resampling</w:t>
      </w:r>
      <w:r>
        <w:t xml:space="preserve"> </w:t>
      </w:r>
      <w:r>
        <w:rPr>
          <w:iCs/>
          <w:i/>
        </w:rPr>
        <w:t xml:space="preserve">k</w:t>
      </w:r>
      <w:r>
        <w:t xml:space="preserve"> </w:t>
      </w:r>
      <w:r>
        <w:t xml:space="preserve">evaluation units and asking how often the ranking reverses turns this into a sampling question about the comparison. The two cross-family pairs, RT-DETR-L against the larger YOLO11 capacities, never reverse on four or more farms (</w:t>
      </w:r>
      <w:r>
        <w:rPr>
          <w:iCs/>
          <w:i/>
        </w:rPr>
        <w:t xml:space="preserve">d</w:t>
      </w:r>
      <w:r>
        <w:t xml:space="preserve"> </w:t>
      </w:r>
      <w:r>
        <w:t xml:space="preserve">= 0.87 and 0.95). Every same-family pair is fragile. YOLO11m against YOLO11n differs by 0.0008 mAP50 and reverses on 46% of six-farm draws; the two GWHD detectors differ by 0.019 and reverse on 8% of ten-session draws, which is what a five-fold design leaves; the two BreaKHis classifiers differ by 0.004 and reverse on 37% at any size the corpus allows. Inverting that gives the units a comparison needs for its direction to be stable at the 5% level: three and four for the cross-family durian pairs, 11 on HAR, 18 on GWHD, and 384 — more patients than exist — for the BreaKHis pair.</w:t>
      </w:r>
    </w:p>
    <w:p>
      <w:pPr>
        <w:pStyle w:val="BodyText"/>
      </w:pPr>
      <w:r>
        <w:t xml:space="preserve">The evaluation sample therefore does not dissolve model comparisons indiscriminately. It dissolves the small ones, and benchmark margins are small. A table separating two architectures by one point of mAP50 on nine or ten acquisition sessions is reporting the outcome of a draw, and the unit count is what would tell the reader so.</w:t>
      </w:r>
    </w:p>
    <w:p>
      <w:pPr>
        <w:pStyle w:val="BodyText"/>
      </w:pPr>
      <w:r>
        <w:rPr>
          <w:bCs/>
          <w:b/>
        </w:rPr>
        <w:t xml:space="preserve">A selection bias inside the protocol.</w:t>
      </w:r>
      <w:r>
        <w:t xml:space="preserve"> </w:t>
      </w:r>
      <w:r>
        <w:t xml:space="preserve">Under leave-one-unit-out the fold’s validation set is the withheld unit. The training loop scores it every epoch, keeps the best and stops early on the same signal, so the withheld unit did not only receive a score. It chose the weights that produced it. Re-validating the final-epoch weights removes that selection on seven of the ten combinations (Fig. 5; Supplementary Table 6), though not all of it — early stopping with a patience of 50 means the last epoch is itself a function of the withheld unit’s score in any run that stopped before the cap, so the comparison isolates best-epoch selection and bounds the total effect from below. Twenty-six durian runs reached the epoch cap and carry no early-stopping selection at all; in the fourteen unit-level ones the best checkpoint still scores 0.051 above the final epoch, against 0.007 in the twelve item-level ones (Supplementary Table 6), so the asymmetry survives where best-epoch selection is the only selection left. Across all seven combinations the item-level figure moves by 0.001 to 0.011 and the unit-level figure by 0.025 to 0.095. The overstatement rises from 37.4–42.7% to 51.6–58.2% on durian (12.3–17.3 points), 19.6–22.4% to 28.5–30.1% on wheat (7.7–8.8) and 8.0–8.7% to 10.4–11.6% on histopathology (2.4–2.8). GWHD’s seed share also falls from 61.2% to 51.9%. The size of the effect tracks the partitioning effect itself, as the mechanism predicts. The harder the withheld unit, the more the per-epoch score varies on it and the more a best-epoch rule can collect. Each of the seven unit-level figures is therefore an upper bound, and the measurement bounds how loose. Three combinations are absent. The durian YOLO11s weights predate final-epoch retention, and the two HAR models need no correction, the perceptron running a fixed number of iterations and the forest having no early stopping. The mechanism is the paper’s own subject one level up: a held-out set that influences any training decision has stopped being held out.</w:t>
      </w:r>
    </w:p>
    <w:p>
      <w:pPr>
        <w:pStyle w:val="BodyText"/>
      </w:pPr>
      <w:r>
        <w:rPr>
          <w:bCs/>
          <w:b/>
        </w:rPr>
        <w:t xml:space="preserve">Two faults in the corpus, found by the same logic.</w:t>
      </w:r>
      <w:r>
        <w:t xml:space="preserve"> </w:t>
      </w:r>
      <w:r>
        <w:t xml:space="preserve">Farm identity was originally joined by filename, and two visits produced overlapping camera counters whose disambiguating suffixes a resize step dropped. Re-attributing by perceptual hash showed that 50 of the earlier 560-image pool (8.9%) carried another photograph’s metadata, 49 labelled farm 0 and taken at farm 6. The fold withholding farm 0 had trained on farm 6, so 29.7% of its held-out set came from a farm the model had seen; it scored 0.394, highest of the five, against 0.260 once re-attributed. Separately, a claim that lesion size differs 75-fold between farms was true of the per-farm medians and false of the images. An ultra-wide lens present at every farm enlarges annotated boxes up to four-fold within a single farm (Supplementary Table 4). Neither was visible in the pooled figure, the fold table or the covariates; both were found only because the originals had been kept. Supplementary Note 2 applies the same audit to the three public corpora.</w:t>
      </w:r>
    </w:p>
    <w:bookmarkEnd w:id="22"/>
    <w:bookmarkStart w:id="23" w:name="discussion"/>
    <w:p>
      <w:pPr>
        <w:pStyle w:val="Heading2"/>
      </w:pPr>
      <w:r>
        <w:t xml:space="preserve">Discussion</w:t>
      </w:r>
    </w:p>
    <w:p>
      <w:pPr>
        <w:pStyle w:val="FirstParagraph"/>
      </w:pPr>
      <w:r>
        <w:t xml:space="preserve">Five claims follow. Item-level splitting of bout-structured data overstates the reported score by an amount that is a property of the corpus — 3.7–44.3% here — and similar across the configurations tested within each corpus. The corrected figure is not stable either. Scored one unit at a time, every dataset shows wide and consequential variation that the aggregate reports as one number in the middle. Once units are separated from folds, which unit a score is computed on accounts for 63 to 89% of the variance against 0 to 5% for the models tested, though the fold component is estimated imprecisely and its interval is not evidence that the training set is irrelevant. That large unit share does not indiscriminately unsettle model comparisons: it unsettles the small ones, and the two cross-family comparisons available here survive on four units while same-family pairs need 18 to 384. And what anticipates a failing unit depends on the task. Of eight per-farm capture covariates none gave a stable indication (Supplementary Table 11), and the model’s own confidence ranged from exploratory enrichment of poor patients to nothing at all on farms (Supplementary Table 17).</w:t>
      </w:r>
    </w:p>
    <w:p>
      <w:pPr>
        <w:pStyle w:val="BodyText"/>
      </w:pPr>
      <w:r>
        <w:t xml:space="preserve">Each is a statement about what a held-out number estimates. A pooled, instance-weighted score estimates performance for a random</w:t>
      </w:r>
      <w:r>
        <w:t xml:space="preserve"> </w:t>
      </w:r>
      <w:r>
        <w:rPr>
          <w:iCs/>
          <w:i/>
        </w:rPr>
        <w:t xml:space="preserve">item</w:t>
      </w:r>
      <w:r>
        <w:t xml:space="preserve"> </w:t>
      </w:r>
      <w:r>
        <w:t xml:space="preserve">from the units that happened to be collected; deployment asks about a random</w:t>
      </w:r>
      <w:r>
        <w:t xml:space="preserve"> </w:t>
      </w:r>
      <w:r>
        <w:rPr>
          <w:iCs/>
          <w:i/>
        </w:rPr>
        <w:t xml:space="preserve">unit</w:t>
      </w:r>
      <w:r>
        <w:t xml:space="preserve"> </w:t>
      </w:r>
      <w:r>
        <w:t xml:space="preserve">— the next farm, patient or wearer. The two differ here by up to 0.056 (Supplementary Table 9). The clustered-data statistics that describe this are not new [26–29]; what these measurements add is their magnitude in machine-learning practice.</w:t>
      </w:r>
    </w:p>
    <w:p>
      <w:pPr>
        <w:pStyle w:val="BodyText"/>
      </w:pPr>
      <w:r>
        <w:t xml:space="preserve">Why the magnitude has not been reported is partly a matter of what datasets permit. A grouped split needs a unit identifier, and of fourteen public crop-disease datasets surveyed [1,2,13–16,25], one releases one at a granularity that permits grouping (Supplementary Table 1). Recording provenance is necessary but not sufficient. We recorded location and time for every original, joined by filename, and put 8.9% of the pool under the wrong farm.</w:t>
      </w:r>
    </w:p>
    <w:p>
      <w:pPr>
        <w:pStyle w:val="BodyText"/>
      </w:pPr>
      <w:r>
        <w:t xml:space="preserve">The results are bounded in several ways, listed in full in Supplementary Note 4. The durian folds are not eight measurements of one quantity, because class composition differs so sharply between farms that five return no figure for one class. Twenty per cent of the annotated peninsular set is excluded for want of a content match, and not at random. Only two of four datasets span model families. Every unit-level figure from an image model was produced by a checkpoint chosen on the unit it was scored on; the two HAR models are the exception. The smallest overstatement is on the non-image dataset, which also has hand-engineered, subject-invariant features; these explanations cannot be separated. And all results are offline.</w:t>
      </w:r>
    </w:p>
    <w:p>
      <w:pPr>
        <w:pStyle w:val="BodyText"/>
      </w:pPr>
      <w:r>
        <w:t xml:space="preserve">The practical consequence is a reporting convention, not a method. Four things should accompany any aggregate score on bout-structured data: how many independent units contributed to training, how many the evaluation rests on, the dispersion across them, and whether units or items are being weighted — because the expected score for a random image and for a random farm, patient or wearer are different estimands, and deployment usually asks the second. All four can be reported with modest extra bookkeeping wherever unit identifiers and the predictions needed to re-aggregate are retained, and Supplementary Note 3 states them as a checklist. We release unitcheck, which computes them from a table of item-to-unit assignments and, where available, per-unit scores. It reads neither images nor weights and answers the prior question — whether any unit straddles the split boundary — before any model is trained, cheap enough to run as a linter in the pipeline that builds a benchmark rather than as an audit afterwards. Under the item-level protocols used here it returns 100% of units straddling the boundary on all four datasets.</w:t>
      </w:r>
    </w:p>
    <w:bookmarkEnd w:id="23"/>
    <w:bookmarkStart w:id="26" w:name="methods"/>
    <w:p>
      <w:pPr>
        <w:pStyle w:val="Heading2"/>
      </w:pPr>
      <w:r>
        <w:t xml:space="preserve">Methods</w:t>
      </w:r>
    </w:p>
    <w:p>
      <w:pPr>
        <w:pStyle w:val="FirstParagraph"/>
      </w:pPr>
      <w:r>
        <w:rPr>
          <w:bCs/>
          <w:b/>
        </w:rPr>
        <w:t xml:space="preserve">Datasets and units.</w:t>
      </w:r>
      <w:r>
        <w:t xml:space="preserve"> </w:t>
      </w:r>
      <w:r>
        <w:rPr>
          <w:iCs/>
          <w:i/>
        </w:rPr>
        <w:t xml:space="preserve">Durian.</w:t>
      </w:r>
      <w:r>
        <w:t xml:space="preserve"> </w:t>
      </w:r>
      <w:r>
        <w:t xml:space="preserve">Photographs were taken at farms in Selangor, Negeri Sembilan and the Muar district of Johor between December 2025 and July 2026, and at two orchards near Lahad Datu, Sabah, on 13–16 August 2026. Location clustering of the originals returned nine peninsular sites; eight hold at least 20 annotated images and are the farms analysed. Peninsular farms lie within 134 km of one another; the Sabah orchards are 1,765–1,872 km away and comprise a 20-acre mature planting under a single manager (trees ~9 years; 70% Musang King, 20% Black Thorn) and a separate 9-acre planting of 3.5-year-old trees. All images were captured hand-held under natural light by one person, primarily on an iPhone 16 Pro Max; an iPhone 13 Pro was used at three farms when the primary device throttled thermally, and did not record location, so those farms’ images were attributed by capture-time proximity. Six focal lengths occur (2.22–15.66 mm) and every farm mixes at least two. No background removal or colour correction was applied; images were resized to 640 × 640 for training and are released at that resolution. Annotation is lesion-level, calibrated in the field with a crop-protection practitioner of several decades’ regional experience, outsourced per class against that standard and reviewed image by image by the author; six classes were retained, with merges and splits constrained by registered-product mode-of-action groups and by the taxonomy of the causal genera [17,18,24] (Supplementary Note 1). Agreement between annotators was not measured and the standard was calibrated in the field rather than written down, so what is released is its output rather than the standard itself. The same reviewer passed over every image, so the standard applied was at least constant across farms; whether the bias it carries is constant is a different question, since it could interact with the class composition that differs between farms, and it was not measured. Of 1,033 annotated peninsular images, 908 carry at least one box; 125 background frames are retained as negatives.</w:t>
      </w:r>
      <w:r>
        <w:t xml:space="preserve"> </w:t>
      </w:r>
      <w:r>
        <w:rPr>
          <w:iCs/>
          <w:i/>
        </w:rPr>
        <w:t xml:space="preserve">GWHD 2021</w:t>
      </w:r>
      <w:r>
        <w:t xml:space="preserve"> </w:t>
      </w:r>
      <w:r>
        <w:t xml:space="preserve">[4] was decoded from the released parquet distribution to 6,512 images with acquisition domain, and converted to single-class labels; 547 sub-pixel boxes and one byte-identical pair with inconsistent annotation were removed, leaving 6,510 images across 47 domains.</w:t>
      </w:r>
      <w:r>
        <w:t xml:space="preserve"> </w:t>
      </w:r>
      <w:r>
        <w:rPr>
          <w:iCs/>
          <w:i/>
        </w:rPr>
        <w:t xml:space="preserve">BreaKHis</w:t>
      </w:r>
      <w:r>
        <w:t xml:space="preserve"> </w:t>
      </w:r>
      <w:r>
        <w:t xml:space="preserve">[23] was parsed from its directory structure: 7,909 images from 81 distinct patient identifiers (the original description reports 82), binary benign/malignant, no duplicates by content hash, no patient with both labels.</w:t>
      </w:r>
      <w:r>
        <w:t xml:space="preserve"> </w:t>
      </w:r>
      <w:r>
        <w:rPr>
          <w:iCs/>
          <w:i/>
        </w:rPr>
        <w:t xml:space="preserve">UCI HAR</w:t>
      </w:r>
      <w:r>
        <w:t xml:space="preserve"> </w:t>
      </w:r>
      <w:r>
        <w:t xml:space="preserve">[22]: 10,299 windows, 30 subjects, 561 engineered features, six activities; the official subject-wise train/test release was not used, and five-fold partitions were constructed for comparability.</w:t>
      </w:r>
    </w:p>
    <w:p>
      <w:pPr>
        <w:pStyle w:val="BodyText"/>
      </w:pPr>
      <w:r>
        <w:rPr>
          <w:bCs/>
          <w:b/>
        </w:rPr>
        <w:t xml:space="preserve">Farm attribution by image content.</w:t>
      </w:r>
      <w:r>
        <w:t xml:space="preserve"> </w:t>
      </w:r>
      <w:r>
        <w:t xml:space="preserve">Farm identity for the originals was recovered from EXIF location by single-link clustering at 1.5 km; originals without location were attributed by capture-time proximity, accepted only where the nearest located image of the same day was within 30 minutes (1,662 by location, 278 by timing, of 2,038). Each annotated image was then matched to the originals by a 64-bit difference hash and takes the farm of its nearest original by Hamming distance, accepted only when no original from a different farm lies within three bits; images failing this are dropped. On the 570 images whose filenames still matched an original, the hash recovered it with a median Hamming distance of 0. The procedure attributed 829 of 1,033 images and recovered 303 whose filenames the annotation platform had replaced. The 204 not attributed over-represent Phomopsis (56% of boxes against 41%) and under-represent Psyllid_damage (4% against 17%).</w:t>
      </w:r>
    </w:p>
    <w:p>
      <w:pPr>
        <w:pStyle w:val="BodyText"/>
      </w:pPr>
      <w:r>
        <w:rPr>
          <w:bCs/>
          <w:b/>
        </w:rPr>
        <w:t xml:space="preserve">Partitions.</w:t>
      </w:r>
      <w:r>
        <w:t xml:space="preserve"> </w:t>
      </w:r>
      <w:r>
        <w:t xml:space="preserve">For each dataset, two regimes over an identical pool, differing in the split rule and, on durian, in training-set size.</w:t>
      </w:r>
      <w:r>
        <w:t xml:space="preserve"> </w:t>
      </w:r>
      <w:r>
        <w:rPr>
          <w:iCs/>
          <w:i/>
        </w:rPr>
        <w:t xml:space="preserve">Item-level</w:t>
      </w:r>
      <w:r>
        <w:t xml:space="preserve">: a stratified random 80/20 split by dominant class on durian (662 train, 165 validation), stratified random five-fold elsewhere.</w:t>
      </w:r>
      <w:r>
        <w:t xml:space="preserve"> </w:t>
      </w:r>
      <w:r>
        <w:rPr>
          <w:iCs/>
          <w:i/>
        </w:rPr>
        <w:t xml:space="preserve">Unit-level</w:t>
      </w:r>
      <w:r>
        <w:t xml:space="preserve">: leave-one-unit-out on durian (eight folds; 827 images; a ninth cluster of two images is excluded from both regimes), otherwise unit-disjoint five-fold assembled by greedy bin-packing on item count. On the three five-fold datasets both regimes hold out one fifth of the same pool, so the training sets match to within 0.1% on GWHD, 0.7% on BreaKHis and 0.2% on HAR. On durian they do not: leave-one-farm-out trains on 680–770 images against 662, so the unit-level regime has 3–16% more training data than the arm it is compared against, and training-set size therefore cannot account for the drop. Absence of any held-out unit from its training set, and of any item spanning folds, is asserted by the split scripts and re-checked by the verification script. Sabah (281 images) was never split and serves as a held-out test set for every peninsular model.</w:t>
      </w:r>
    </w:p>
    <w:p>
      <w:pPr>
        <w:pStyle w:val="BodyText"/>
      </w:pPr>
      <w:r>
        <w:rPr>
          <w:bCs/>
          <w:b/>
        </w:rPr>
        <w:t xml:space="preserve">Training.</w:t>
      </w:r>
      <w:r>
        <w:t xml:space="preserve"> </w:t>
      </w:r>
      <w:r>
        <w:t xml:space="preserve">Durian: Ultralytics YOLO11n/s/m [19] and RT-DETR-L [20], 640 px, ≤150 epochs, patience 50, five seeds, batch 32/32/16/24, 180 runs. GWHD: YOLO11s and YOLO11n, 640 px, 150 epochs, patience 50, batch 32, three seeds (runs cost two to seven times the others’), 59 runs. BreaKHis: YOLO11s-cls and YOLO11n-cls, 224 px, 100 epochs, patience 50, batch 256, five seeds, 100 runs. HAR: single-hidden-layer perceptron (256 units, 300 iterations, standardised features) and random forest (500 trees), five seeds each, 100 runs.</w:t>
      </w:r>
    </w:p>
    <w:p>
      <w:pPr>
        <w:pStyle w:val="BodyText"/>
      </w:pPr>
      <w:r>
        <w:rPr>
          <w:bCs/>
          <w:b/>
        </w:rPr>
        <w:t xml:space="preserve">Evaluation.</w:t>
      </w:r>
      <w:r>
        <w:t xml:space="preserve"> </w:t>
      </w:r>
      <w:r>
        <w:t xml:space="preserve">Every model score in this paper comes from re-validating a saved checkpoint through one code path, with two exceptions that are noted where they arise: the abstention analysis, which needs per-detection matching and computes its own average precision, and the evaluation-unit curves, which resample the per-unit tables rather than running a model. Per-unit evaluation constructs one manifest per unit and re-runs validation without retraining; each unit is scored with the fold whose held-out set contains it. mAP50 [21] is the primary detection metric (mAP50-95 in the released tables); BreaKHis uses top-1 accuracy and HAR macro F1. Units with fewer than five items are excluded: one of the thirteen Sabah trees, leaving twelve, and at the 60 s burst gap 90 of 148 peninsular bursts, the 58 retained covering 652 of 827 images. Peninsular bursts are consecutive frames from one farm less than 60 s apart; the analysis was repeated at four gap settings and the coefficient of variation stays between 0.70 and 0.75 while coverage runs from 42% to 79% (Supplementary Table 3). The minimum-unit-size threshold was swept from 5 to 50 items and the per-unit dispersion recorded at each (Supplementary Table 15);</w:t>
      </w:r>
      <w:r>
        <w:t xml:space="preserve"> </w:t>
      </w:r>
      <w:r>
        <w:rPr>
          <w:rStyle w:val="VerbatimChar"/>
        </w:rPr>
        <w:t xml:space="preserve">unit_threshold_sweep.py</w:t>
      </w:r>
      <w:r>
        <w:t xml:space="preserve">. A bootstrap over items within each unit would separate metric noise from heterogeneity more directly, but the released per-unit tables record a score and an item count rather than per-item outcomes, so the threshold sweep is the available control.</w:t>
      </w:r>
    </w:p>
    <w:p>
      <w:pPr>
        <w:pStyle w:val="BodyText"/>
      </w:pPr>
      <w:r>
        <w:rPr>
          <w:iCs/>
          <w:i/>
        </w:rPr>
        <w:t xml:space="preserve">The checkpoint is chosen on the withheld fold.</w:t>
      </w:r>
      <w:r>
        <w:t xml:space="preserve"> </w:t>
      </w:r>
      <w:r>
        <w:t xml:space="preserve">Under leave-one-unit-out the fold’s validation set is the withheld unit, and the training loop keeps the epoch with the best fitness on it and stops early on the same signal. The final-epoch weights were re-validated through the same code path that produced every other figure:</w:t>
      </w:r>
      <w:r>
        <w:t xml:space="preserve"> </w:t>
      </w:r>
      <w:r>
        <w:rPr>
          <w:rStyle w:val="VerbatimChar"/>
        </w:rPr>
        <w:t xml:space="preserve">checkpoint_bias.py</w:t>
      </w:r>
      <w:r>
        <w:t xml:space="preserve"> </w:t>
      </w:r>
      <w:r>
        <w:t xml:space="preserve">on the three durian detectors and both GWHD detectors,</w:t>
      </w:r>
      <w:r>
        <w:t xml:space="preserve"> </w:t>
      </w:r>
      <w:r>
        <w:rPr>
          <w:rStyle w:val="VerbatimChar"/>
        </w:rPr>
        <w:t xml:space="preserve">checkpoint_bias_bkh.py</w:t>
      </w:r>
      <w:r>
        <w:t xml:space="preserve"> </w:t>
      </w:r>
      <w:r>
        <w:t xml:space="preserve">on both BreaKHis classifiers, 200 re-validations in total and no retraining. Epoch counts were read from each training log and released, so runs that reached the cap can be analysed separately. The durian YOLO11s runs predate final-epoch retention and neither checkpoint survives, so that combination is absent. HAR requires no correction: the perceptron runs a fixed 300 iterations and the random forest has no early stopping, so no held-out subject influenced any training decision. The item-level regime carries the same bias but is almost unaffected by it, because its validation set is near-duplicated in training.</w:t>
      </w:r>
    </w:p>
    <w:p>
      <w:pPr>
        <w:pStyle w:val="BodyText"/>
      </w:pPr>
      <w:r>
        <w:rPr>
          <w:bCs/>
          <w:b/>
        </w:rPr>
        <w:t xml:space="preserve">Variance decomposition.</w:t>
      </w:r>
      <w:r>
        <w:t xml:space="preserve"> </w:t>
      </w:r>
      <w:r>
        <w:t xml:space="preserve">Models × folds × seeds; components estimated by expected mean squares for a two-factor random-effects model. The design is fully crossed on durian, BreaKHis and HAR. On GWHD one cell is empty — YOLO11n at seed 2 on random_fold4 did not complete — so 59 of 60 runs enter, and the estimator uses the harmonic mean of the cell counts there. On durian a fold is one farm; on GWHD, BreaKHis and HAR a fold is a unit-disjoint group of 9–10 sessions, ~16 patients or 6 subjects, and the fold component is reported as held-out sample composition. Both factors are treated as random because the question is how much variability each contributes rather than which model is better, the framing of measurement-system analysis; reading the model term as a variance component assumes the levels sample a population of models, which two to four architectures do only loosely. Intervals are 90% percentile bootstrap over folds (2,000 resamples), the level at which the design is exchangeable. Two controls (two versus four models; single-class) are reported in Results.</w:t>
      </w:r>
    </w:p>
    <w:p>
      <w:pPr>
        <w:pStyle w:val="BodyText"/>
      </w:pPr>
      <w:r>
        <w:rPr>
          <w:iCs/>
          <w:i/>
        </w:rPr>
        <w:t xml:space="preserve">Units nested within folds.</w:t>
      </w:r>
      <w:r>
        <w:t xml:space="preserve"> </w:t>
      </w:r>
      <w:r>
        <w:t xml:space="preserve">Where a fold contains several units, the crossed decomposition above cannot separate the effect of which units were withheld from training from the effect of which unit is being scored.</w:t>
      </w:r>
      <w:r>
        <w:t xml:space="preserve"> </w:t>
      </w:r>
      <w:r>
        <w:rPr>
          <w:rStyle w:val="VerbatimChar"/>
        </w:rPr>
        <w:t xml:space="preserve">nested_decomposition.py</w:t>
      </w:r>
      <w:r>
        <w:t xml:space="preserve"> </w:t>
      </w:r>
      <w:r>
        <w:t xml:space="preserve">fits</w:t>
      </w:r>
      <w:r>
        <w:t xml:space="preserve"> </w:t>
      </w:r>
      <w:r>
        <w:rPr>
          <w:rStyle w:val="VerbatimChar"/>
        </w:rPr>
        <w:t xml:space="preserve">y = μ + M + F + U:F + S + ε</w:t>
      </w:r>
      <w:r>
        <w:t xml:space="preserve"> </w:t>
      </w:r>
      <w:r>
        <w:t xml:space="preserve">to the per-unit scores by the method of moments, with harmonic means over the unbalanced nesting; the imbalance in units per fold is 1.00 to 1.13 across the three datasets, so the approximation is close, and intervals are a 90% bootstrap over folds. The residual absorbs the seed × unit and model × unit interactions, which is where GWHD’s seed anomaly reappears.</w:t>
      </w:r>
    </w:p>
    <w:p>
      <w:pPr>
        <w:pStyle w:val="BodyText"/>
      </w:pPr>
      <w:r>
        <w:rPr>
          <w:bCs/>
          <w:b/>
        </w:rPr>
        <w:t xml:space="preserve">Model comparisons under resampled evaluation units.</w:t>
      </w:r>
      <w:r>
        <w:t xml:space="preserve"> </w:t>
      </w:r>
      <w:r>
        <w:t xml:space="preserve">For every pair of models trained on the same folds, the difference between their scores on each unit gives a paired difference;</w:t>
      </w:r>
      <w:r>
        <w:t xml:space="preserve"> </w:t>
      </w:r>
      <w:r>
        <w:rPr>
          <w:iCs/>
          <w:i/>
        </w:rPr>
        <w:t xml:space="preserve">d</w:t>
      </w:r>
      <w:r>
        <w:t xml:space="preserve"> </w:t>
      </w:r>
      <w:r>
        <w:t xml:space="preserve">is its mean over units divided by its standard deviation over units. Drawing</w:t>
      </w:r>
      <w:r>
        <w:t xml:space="preserve"> </w:t>
      </w:r>
      <w:r>
        <w:rPr>
          <w:iCs/>
          <w:i/>
        </w:rPr>
        <w:t xml:space="preserve">k</w:t>
      </w:r>
      <w:r>
        <w:t xml:space="preserve"> </w:t>
      </w:r>
      <w:r>
        <w:t xml:space="preserve">units without replacement and recomputing both aggregates, 3,000 times, gives the frequency with which the ranking reverses relative to the full pool. The number of units at which that frequency falls to 5% is read off the simulation, and agrees with the normal approximation Φ(−</w:t>
      </w:r>
      <w:r>
        <w:rPr>
          <w:iCs/>
          <w:i/>
        </w:rPr>
        <w:t xml:space="preserve">d</w:t>
      </w:r>
      <w:r>
        <w:t xml:space="preserve">√</w:t>
      </w:r>
      <w:r>
        <w:rPr>
          <w:iCs/>
          <w:i/>
        </w:rPr>
        <w:t xml:space="preserve">k</w:t>
      </w:r>
      <w:r>
        <w:t xml:space="preserve">) to within a few points once the pool is large; on durian, where the pool is eight farms, the finite-population correction makes the simulated rate lower than the approximation.</w:t>
      </w:r>
      <w:r>
        <w:t xml:space="preserve"> </w:t>
      </w:r>
      <w:r>
        <w:rPr>
          <w:rStyle w:val="VerbatimChar"/>
        </w:rPr>
        <w:t xml:space="preserve">results_model_comparison.csv</w:t>
      </w:r>
      <w:r>
        <w:t xml:space="preserve">. The comparison is conditional on the roster trained here, and each pair shares folds, seeds and preprocessing, so what is resampled is the evaluation units and nothing else.</w:t>
      </w:r>
    </w:p>
    <w:p>
      <w:pPr>
        <w:pStyle w:val="BodyText"/>
      </w:pPr>
      <w:r>
        <w:rPr>
          <w:bCs/>
          <w:b/>
        </w:rPr>
        <w:t xml:space="preserve">Evaluation-unit resampling.</w:t>
      </w:r>
      <w:r>
        <w:t xml:space="preserve"> </w:t>
      </w:r>
      <w:r>
        <w:t xml:space="preserve">For each unit count</w:t>
      </w:r>
      <w:r>
        <w:t xml:space="preserve"> </w:t>
      </w:r>
      <w:r>
        <w:rPr>
          <w:iCs/>
          <w:i/>
        </w:rPr>
        <w:t xml:space="preserve">k</w:t>
      </w:r>
      <w:r>
        <w:t xml:space="preserve">,</w:t>
      </w:r>
      <w:r>
        <w:t xml:space="preserve"> </w:t>
      </w:r>
      <w:r>
        <w:rPr>
          <w:iCs/>
          <w:i/>
        </w:rPr>
        <w:t xml:space="preserve">k</w:t>
      </w:r>
      <w:r>
        <w:t xml:space="preserve"> </w:t>
      </w:r>
      <w:r>
        <w:t xml:space="preserve">units were drawn without replacement from the per-unit table and the aggregate recomputed, 2,000 times, under both equal and instance weighting;</w:t>
      </w:r>
      <w:r>
        <w:t xml:space="preserve"> </w:t>
      </w:r>
      <w:r>
        <w:rPr>
          <w:rStyle w:val="VerbatimChar"/>
        </w:rPr>
        <w:t xml:space="preserve">eval_unit_curve.py</w:t>
      </w:r>
      <w:r>
        <w:t xml:space="preserve">. No model is run. The interval width at each</w:t>
      </w:r>
      <w:r>
        <w:t xml:space="preserve"> </w:t>
      </w:r>
      <w:r>
        <w:rPr>
          <w:iCs/>
          <w:i/>
        </w:rPr>
        <w:t xml:space="preserve">k</w:t>
      </w:r>
      <w:r>
        <w:t xml:space="preserve"> </w:t>
      </w:r>
      <w:r>
        <w:t xml:space="preserve">is the 5th-to-95th percentile across draws, and inverting it gives the unit count needed for a target width. One limitation bounds what this establishes: each unit’s score was produced by the fold that withheld it, so resampling units mixes training sets and approximates a</w:t>
      </w:r>
      <w:r>
        <w:t xml:space="preserve"> </w:t>
      </w:r>
      <w:r>
        <w:rPr>
          <w:iCs/>
          <w:i/>
        </w:rPr>
        <w:t xml:space="preserve">k</w:t>
      </w:r>
      <w:r>
        <w:t xml:space="preserve">-unit evaluation rather than reproducing one. Reproducing it exactly would mean fixing a training set and resampling only the evaluation units, which requires retraining; mixing training sets plausibly adds variation rather than removing it, which would make the reported widths conservative, but that is an expectation about the covariance structure and not something established here.</w:t>
      </w:r>
    </w:p>
    <w:p>
      <w:pPr>
        <w:pStyle w:val="BodyText"/>
      </w:pPr>
      <w:r>
        <w:rPr>
          <w:bCs/>
          <w:b/>
        </w:rPr>
        <w:t xml:space="preserve">Dose-response.</w:t>
      </w:r>
      <w:r>
        <w:t xml:space="preserve"> </w:t>
      </w:r>
      <w:r>
        <w:t xml:space="preserve">For each unit count</w:t>
      </w:r>
      <w:r>
        <w:t xml:space="preserve"> </w:t>
      </w:r>
      <w:r>
        <w:rPr>
          <w:iCs/>
          <w:i/>
        </w:rPr>
        <w:t xml:space="preserve">k</w:t>
      </w:r>
      <w:r>
        <w:t xml:space="preserve">, disjoint draws of</w:t>
      </w:r>
      <w:r>
        <w:t xml:space="preserve"> </w:t>
      </w:r>
      <w:r>
        <w:rPr>
          <w:iCs/>
          <w:i/>
        </w:rPr>
        <w:t xml:space="preserve">k</w:t>
      </w:r>
      <w:r>
        <w:t xml:space="preserve"> </w:t>
      </w:r>
      <w:r>
        <w:t xml:space="preserve">units were made at random from the pool remaining after the held-out units were removed, each subsampled to a fixed total item count allocated evenly across units, and each trained with two seeds. Where the budget did not divide exactly the realised total fell a few items short (HAR: 1,000 windows at</w:t>
      </w:r>
      <w:r>
        <w:t xml:space="preserve"> </w:t>
      </w:r>
      <w:r>
        <w:rPr>
          <w:iCs/>
          <w:i/>
        </w:rPr>
        <w:t xml:space="preserve">k</w:t>
      </w:r>
      <w:r>
        <w:t xml:space="preserve"> </w:t>
      </w:r>
      <w:r>
        <w:t xml:space="preserve">= 4 to 984 at</w:t>
      </w:r>
      <w:r>
        <w:t xml:space="preserve"> </w:t>
      </w:r>
      <w:r>
        <w:rPr>
          <w:iCs/>
          <w:i/>
        </w:rPr>
        <w:t xml:space="preserve">k</w:t>
      </w:r>
      <w:r>
        <w:t xml:space="preserve"> </w:t>
      </w:r>
      <w:r>
        <w:t xml:space="preserve">= 24, a 1.6% spread opposite to the measured effect). Draws that could not reach the item budget were skipped, and at small</w:t>
      </w:r>
      <w:r>
        <w:t xml:space="preserve"> </w:t>
      </w:r>
      <w:r>
        <w:rPr>
          <w:iCs/>
          <w:i/>
        </w:rPr>
        <w:t xml:space="preserve">k</w:t>
      </w:r>
      <w:r>
        <w:t xml:space="preserve"> </w:t>
      </w:r>
      <w:r>
        <w:t xml:space="preserve">that is a large fraction: 4 of 6 intended draws survive at</w:t>
      </w:r>
      <w:r>
        <w:t xml:space="preserve"> </w:t>
      </w:r>
      <w:r>
        <w:rPr>
          <w:iCs/>
          <w:i/>
        </w:rPr>
        <w:t xml:space="preserve">k</w:t>
      </w:r>
      <w:r>
        <w:t xml:space="preserve"> </w:t>
      </w:r>
      <w:r>
        <w:t xml:space="preserve">= 1 on durian, and 1 of 8 at</w:t>
      </w:r>
      <w:r>
        <w:t xml:space="preserve"> </w:t>
      </w:r>
      <w:r>
        <w:rPr>
          <w:iCs/>
          <w:i/>
        </w:rPr>
        <w:t xml:space="preserve">k</w:t>
      </w:r>
      <w:r>
        <w:t xml:space="preserve"> </w:t>
      </w:r>
      <w:r>
        <w:t xml:space="preserve">= 2 and 3 of 8 at</w:t>
      </w:r>
      <w:r>
        <w:t xml:space="preserve"> </w:t>
      </w:r>
      <w:r>
        <w:rPr>
          <w:iCs/>
          <w:i/>
        </w:rPr>
        <w:t xml:space="preserve">k</w:t>
      </w:r>
      <w:r>
        <w:t xml:space="preserve"> </w:t>
      </w:r>
      <w:r>
        <w:t xml:space="preserve">= 4 on GWHD. The skipped draws are those whose units are too small to supply the budget, so the low-</w:t>
      </w:r>
      <w:r>
        <w:rPr>
          <w:iCs/>
          <w:i/>
        </w:rPr>
        <w:t xml:space="preserve">k</w:t>
      </w:r>
      <w:r>
        <w:t xml:space="preserve"> </w:t>
      </w:r>
      <w:r>
        <w:t xml:space="preserve">end is biased towards larger units and the durian increase measured against</w:t>
      </w:r>
      <w:r>
        <w:t xml:space="preserve"> </w:t>
      </w:r>
      <w:r>
        <w:rPr>
          <w:iCs/>
          <w:i/>
        </w:rPr>
        <w:t xml:space="preserve">k</w:t>
      </w:r>
      <w:r>
        <w:t xml:space="preserve"> </w:t>
      </w:r>
      <w:r>
        <w:t xml:space="preserve">= 1 rests on four farms. Two seeds per draw. Durian and GWHD curves were run at 100 and 600 training items, far below the main experiments. Only the trend with</w:t>
      </w:r>
      <w:r>
        <w:t xml:space="preserve"> </w:t>
      </w:r>
      <w:r>
        <w:rPr>
          <w:iCs/>
          <w:i/>
        </w:rPr>
        <w:t xml:space="preserve">k</w:t>
      </w:r>
      <w:r>
        <w:t xml:space="preserve"> </w:t>
      </w:r>
      <w:r>
        <w:t xml:space="preserve">is interpretable, and the crossing points quoted in Results are descriptive of these draws rather than estimates with an uncertainty attached.</w:t>
      </w:r>
    </w:p>
    <w:p>
      <w:pPr>
        <w:pStyle w:val="BodyText"/>
      </w:pPr>
      <w:r>
        <w:rPr>
          <w:bCs/>
          <w:b/>
        </w:rPr>
        <w:t xml:space="preserve">Abstention.</w:t>
      </w:r>
      <w:r>
        <w:t xml:space="preserve"> </w:t>
      </w:r>
      <w:r>
        <w:t xml:space="preserve">The selected checkpoint for each durian fold was run over its held-out farm at conf = 0.001, for all five seeds; detections were matched to ground truth greedily by descending confidence at IoU ≥ 0.5 within class; per-image maximum confidence defines the abstention order, and average precision on the retained subset is computed per class and averaged over the classes present, so that it is the same quantity as the mAP50 reported elsewhere. At full coverage it reproduces the per-farm mAP50 of the main table to within 0.008 on every farm, which is the check that the two agree; an earlier version pooled all six classes into one ranked curve, disagreed by up to 0.31 on a farm, and returned a confidence correlation of the opposite sign (Supplementary Table 12).</w:t>
      </w:r>
    </w:p>
    <w:p>
      <w:pPr>
        <w:pStyle w:val="BodyText"/>
      </w:pPr>
      <w:r>
        <w:rPr>
          <w:bCs/>
          <w:b/>
        </w:rPr>
        <w:t xml:space="preserve">Relation to prior work by the same author.</w:t>
      </w:r>
      <w:r>
        <w:t xml:space="preserve"> </w:t>
      </w:r>
      <w:r>
        <w:t xml:space="preserve">The peninsular photographs derive from the same collection as an earlier study of capture-session leakage in five-class classification (under review; https://doi.org/10.5281/zenodo.22177133), which partitions 560 images into 73 sessions and reports macro F1. The present work re-annotates at box level, re-derives attribution by perceptual hash, recovers 303 images and analyses 827 images across eight farms with detection models; unit, task, annotation level, attribution and analysis set all differ.</w:t>
      </w:r>
    </w:p>
    <w:p>
      <w:pPr>
        <w:pStyle w:val="BodyText"/>
      </w:pPr>
      <w:r>
        <w:rPr>
          <w:bCs/>
          <w:b/>
        </w:rPr>
        <w:t xml:space="preserve">Reporting summary.</w:t>
      </w:r>
      <w:r>
        <w:t xml:space="preserve"> </w:t>
      </w:r>
      <w:r>
        <w:t xml:space="preserve">Further information on research design is available in the Nature Research Reporting Summary linked to this article.</w:t>
      </w:r>
    </w:p>
    <w:p>
      <w:pPr>
        <w:pStyle w:val="BodyText"/>
      </w:pPr>
      <w:r>
        <w:rPr>
          <w:bCs/>
          <w:b/>
        </w:rPr>
        <w:t xml:space="preserve">Ethics.</w:t>
      </w:r>
      <w:r>
        <w:t xml:space="preserve"> </w:t>
      </w:r>
      <w:r>
        <w:t xml:space="preserve">[Institutional determination to be inserted before submission.]</w:t>
      </w:r>
    </w:p>
    <w:bookmarkStart w:id="24" w:name="data-availability"/>
    <w:p>
      <w:pPr>
        <w:pStyle w:val="Heading3"/>
      </w:pPr>
      <w:r>
        <w:t xml:space="preserve">Data availability</w:t>
      </w:r>
    </w:p>
    <w:p>
      <w:pPr>
        <w:pStyle w:val="FirstParagraph"/>
      </w:pPr>
      <w:r>
        <w:t xml:space="preserve">The durian images and annotations are deposited at https://doi.org/10.5281/zenodo.22030622 (CC BY-NC 4.0) at 640 × 640 with location coordinates stripped, together with the content-based farm attribution, Sabah tree identifiers and all split manifests. GWHD, BreaKHis and UCI HAR are public; the scripts that reproduce our processing are released. All result tables are released without restriction.</w:t>
      </w:r>
    </w:p>
    <w:bookmarkEnd w:id="24"/>
    <w:bookmarkStart w:id="25" w:name="code-availability"/>
    <w:p>
      <w:pPr>
        <w:pStyle w:val="Heading3"/>
      </w:pPr>
      <w:r>
        <w:t xml:space="preserve">Code availability</w:t>
      </w:r>
    </w:p>
    <w:p>
      <w:pPr>
        <w:pStyle w:val="FirstParagraph"/>
      </w:pPr>
      <w:r>
        <w:t xml:space="preserve">Corpus preparation, attribution, split construction, training, per-unit evaluation, variance decomposition, dose-response, abstention and the checkpoint-bias measurement are at https://github.com/xiaolin200206/durian-site-split, archived at https://doi.org/10.5281/zenodo.22031684. unitcheck.py depends only on the standard library. Every quantitative claim in this paper is recomputed from the released tables by a single script on every commit; a claim whose input table is absent fails the build. Three errors reported here were found by that process rather than by inspection.</w:t>
      </w:r>
    </w:p>
    <w:bookmarkEnd w:id="25"/>
    <w:bookmarkEnd w:id="26"/>
    <w:bookmarkStart w:id="27" w:name="figure-legends"/>
    <w:p>
      <w:pPr>
        <w:pStyle w:val="Heading2"/>
      </w:pPr>
      <w:r>
        <w:t xml:space="preserve">Figure legends</w:t>
      </w:r>
    </w:p>
    <w:p>
      <w:pPr>
        <w:pStyle w:val="FirstParagraph"/>
      </w:pPr>
      <w:r>
        <w:rPr>
          <w:bCs/>
          <w:b/>
        </w:rPr>
        <w:t xml:space="preserve">Fig. 1 | The same weights, scored one unit at a time.</w:t>
      </w:r>
      <w:r>
        <w:t xml:space="preserve"> </w:t>
      </w:r>
      <w:r>
        <w:t xml:space="preserve">Each marker is one evaluation unit scored with weights whose training set excluded it; error bars are the s.d. across training seeds. The unit did enter model selection, through the epoch at which training stopped and the checkpoint that was kept — the size of that is measured in Fig. 5. Panels: 58 peninsular durian capture bursts, 12 Sabah trees, 47 GWHD sessions, 81 BreaKHis patients, 30 HAR subjects. Solid lines are the pooled unit-level figures from the same weights; dashed lines are what an item-level split reports on the same data (GWHD: mean of the two models); dotted lines mark the equal-weight mean where it separates from the pooled figure. The two durian panels share weights, agree to 0.004 in mean and differ 4.5-fold in dispersion.</w:t>
      </w:r>
    </w:p>
    <w:p>
      <w:pPr>
        <w:pStyle w:val="BodyText"/>
      </w:pPr>
      <w:r>
        <w:rPr>
          <w:bCs/>
          <w:b/>
        </w:rPr>
        <w:t xml:space="preserve">Fig. 2 | The held-out sample against the model.</w:t>
      </w:r>
      <w:r>
        <w:t xml:space="preserve"> </w:t>
      </w:r>
      <w:r>
        <w:rPr>
          <w:bCs/>
          <w:b/>
        </w:rPr>
        <w:t xml:space="preserve">a</w:t>
      </w:r>
      <w:r>
        <w:t xml:space="preserve">, Variance components of durian mAP50 over four architectures × eight withheld farms × five seeds, estimated by expected mean squares, with 90% percentile bootstrap intervals over farms.</w:t>
      </w:r>
      <w:r>
        <w:t xml:space="preserve"> </w:t>
      </w:r>
      <w:r>
        <w:rPr>
          <w:bCs/>
          <w:b/>
        </w:rPr>
        <w:t xml:space="preserve">b</w:t>
      </w:r>
      <w:r>
        <w:t xml:space="preserve">, The same decomposition on all four datasets, stacked; the number pair at the right of each bar is the held-out-sample share against the seed share. On durian a fold is one farm, so the first component is the withheld unit; on the other three a fold is a unit-disjoint group of nine or ten sessions, roughly sixteen patients or six subjects, so it is the composition of the held-out sample and should not be read as a per-unit variance. GWHD is the one dataset where the seed dominates, and it is shown rather than set aside.</w:t>
      </w:r>
      <w:r>
        <w:t xml:space="preserve"> </w:t>
      </w:r>
      <w:r>
        <w:rPr>
          <w:bCs/>
          <w:b/>
        </w:rPr>
        <w:t xml:space="preserve">c</w:t>
      </w:r>
      <w:r>
        <w:t xml:space="preserve">, Fold means under the four durian architectures, ordered by YOLO11s; the ranking is largely preserved (mean pairwise Spearman ρ = 0.94, range 0.88–1.00).</w:t>
      </w:r>
    </w:p>
    <w:p>
      <w:pPr>
        <w:pStyle w:val="BodyText"/>
      </w:pPr>
      <w:r>
        <w:rPr>
          <w:bCs/>
          <w:b/>
        </w:rPr>
        <w:t xml:space="preserve">Fig. 3 | Training units and evaluation units obey different rules.</w:t>
      </w:r>
      <w:r>
        <w:t xml:space="preserve"> </w:t>
      </w:r>
      <w:r>
        <w:rPr>
          <w:bCs/>
          <w:b/>
        </w:rPr>
        <w:t xml:space="preserve">a</w:t>
      </w:r>
      <w:r>
        <w:t xml:space="preserve">,</w:t>
      </w:r>
      <w:r>
        <w:t xml:space="preserve"> </w:t>
      </w:r>
      <w:r>
        <w:rPr>
          <w:bCs/>
          <w:b/>
        </w:rPr>
        <w:t xml:space="preserve">b</w:t>
      </w:r>
      <w:r>
        <w:t xml:space="preserve">, Training units: for each count</w:t>
      </w:r>
      <w:r>
        <w:t xml:space="preserve"> </w:t>
      </w:r>
      <w:r>
        <w:rPr>
          <w:iCs/>
          <w:i/>
        </w:rPr>
        <w:t xml:space="preserve">k</w:t>
      </w:r>
      <w:r>
        <w:t xml:space="preserve">, disjoint draws of</w:t>
      </w:r>
      <w:r>
        <w:t xml:space="preserve"> </w:t>
      </w:r>
      <w:r>
        <w:rPr>
          <w:iCs/>
          <w:i/>
        </w:rPr>
        <w:t xml:space="preserve">k</w:t>
      </w:r>
      <w:r>
        <w:t xml:space="preserve"> </w:t>
      </w:r>
      <w:r>
        <w:t xml:space="preserve">units were trained at a fixed total item count and scored on held-out units.</w:t>
      </w:r>
      <w:r>
        <w:t xml:space="preserve"> </w:t>
      </w:r>
      <w:r>
        <w:rPr>
          <w:bCs/>
          <w:b/>
        </w:rPr>
        <w:t xml:space="preserve">a</w:t>
      </w:r>
      <w:r>
        <w:t xml:space="preserve">, the expected score relative to the smallest</w:t>
      </w:r>
      <w:r>
        <w:t xml:space="preserve"> </w:t>
      </w:r>
      <w:r>
        <w:rPr>
          <w:iCs/>
          <w:i/>
        </w:rPr>
        <w:t xml:space="preserve">k</w:t>
      </w:r>
      <w:r>
        <w:t xml:space="preserve">, which rises 61.5% on durian, 6.6% on HAR and not at all on GWHD.</w:t>
      </w:r>
      <w:r>
        <w:t xml:space="preserve"> </w:t>
      </w:r>
      <w:r>
        <w:rPr>
          <w:bCs/>
          <w:b/>
        </w:rPr>
        <w:t xml:space="preserve">b</w:t>
      </w:r>
      <w:r>
        <w:t xml:space="preserve">, the spread across draws on a log scale, which falls three- to six-fold everywhere; dashed lines are the seed-to-seed spread, and the crossing point differs by dataset — six farms, around sixteen sessions, twenty-four subjects.</w:t>
      </w:r>
      <w:r>
        <w:t xml:space="preserve"> </w:t>
      </w:r>
      <w:r>
        <w:rPr>
          <w:bCs/>
          <w:b/>
        </w:rPr>
        <w:t xml:space="preserve">c</w:t>
      </w:r>
      <w:r>
        <w:t xml:space="preserve">, Evaluation units: for each</w:t>
      </w:r>
      <w:r>
        <w:t xml:space="preserve"> </w:t>
      </w:r>
      <w:r>
        <w:rPr>
          <w:iCs/>
          <w:i/>
        </w:rPr>
        <w:t xml:space="preserve">k</w:t>
      </w:r>
      <w:r>
        <w:t xml:space="preserve">, 2,000 draws of</w:t>
      </w:r>
      <w:r>
        <w:t xml:space="preserve"> </w:t>
      </w:r>
      <w:r>
        <w:rPr>
          <w:iCs/>
          <w:i/>
        </w:rPr>
        <w:t xml:space="preserve">k</w:t>
      </w:r>
      <w:r>
        <w:t xml:space="preserve"> </w:t>
      </w:r>
      <w:r>
        <w:t xml:space="preserve">units were resampled from the per-unit scores and the aggregate recomputed, which needs no retraining. The mean is flat in</w:t>
      </w:r>
      <w:r>
        <w:t xml:space="preserve"> </w:t>
      </w:r>
      <w:r>
        <w:rPr>
          <w:iCs/>
          <w:i/>
        </w:rPr>
        <w:t xml:space="preserve">k</w:t>
      </w:r>
      <w:r>
        <w:t xml:space="preserve"> </w:t>
      </w:r>
      <w:r>
        <w:t xml:space="preserve">in all four datasets, so the whole effect is on the spread, which falls as</w:t>
      </w:r>
      <w:r>
        <w:t xml:space="preserve"> </w:t>
      </w:r>
      <w:r>
        <w:rPr>
          <w:iCs/>
          <w:i/>
        </w:rPr>
        <w:t xml:space="preserve">k</w:t>
      </w:r>
      <w:r>
        <w:t xml:space="preserve">−1/2</w:t>
      </w:r>
      <w:r>
        <w:t xml:space="preserve">. Note that</w:t>
      </w:r>
      <w:r>
        <w:t xml:space="preserve"> </w:t>
      </w:r>
      <w:r>
        <w:rPr>
          <w:bCs/>
          <w:b/>
        </w:rPr>
        <w:t xml:space="preserve">a</w:t>
      </w:r>
      <w:r>
        <w:t xml:space="preserve"> </w:t>
      </w:r>
      <w:r>
        <w:t xml:space="preserve">and</w:t>
      </w:r>
      <w:r>
        <w:t xml:space="preserve"> </w:t>
      </w:r>
      <w:r>
        <w:rPr>
          <w:bCs/>
          <w:b/>
        </w:rPr>
        <w:t xml:space="preserve">c</w:t>
      </w:r>
      <w:r>
        <w:t xml:space="preserve"> </w:t>
      </w:r>
      <w:r>
        <w:t xml:space="preserve">answer different questions with the same</w:t>
      </w:r>
      <w:r>
        <w:t xml:space="preserve"> </w:t>
      </w:r>
      <w:r>
        <w:rPr>
          <w:iCs/>
          <w:i/>
        </w:rPr>
        <w:t xml:space="preserve">x</w:t>
      </w:r>
      <w:r>
        <w:t xml:space="preserve"> </w:t>
      </w:r>
      <w:r>
        <w:t xml:space="preserve">axis: how many units the model learned from, and how many the reported figure was computed on.</w:t>
      </w:r>
    </w:p>
    <w:p>
      <w:pPr>
        <w:pStyle w:val="BodyText"/>
      </w:pPr>
      <w:r>
        <w:rPr>
          <w:bCs/>
          <w:b/>
        </w:rPr>
        <w:t xml:space="preserve">Fig. 4 | When the evaluation sample changes which model wins.</w:t>
      </w:r>
      <w:r>
        <w:t xml:space="preserve"> </w:t>
      </w:r>
      <w:r>
        <w:rPr>
          <w:bCs/>
          <w:b/>
        </w:rPr>
        <w:t xml:space="preserve">a</w:t>
      </w:r>
      <w:r>
        <w:t xml:space="preserve">, For each of the nine model pairs available, the mean difference between the two models scored on the same unit, with a bar of one standard deviation of that difference across units. The label gives</w:t>
      </w:r>
      <w:r>
        <w:t xml:space="preserve"> </w:t>
      </w:r>
      <w:r>
        <w:rPr>
          <w:iCs/>
          <w:i/>
        </w:rPr>
        <w:t xml:space="preserve">d</w:t>
      </w:r>
      <w:r>
        <w:t xml:space="preserve">, the mean divided by that standard deviation.</w:t>
      </w:r>
      <w:r>
        <w:t xml:space="preserve"> </w:t>
      </w:r>
      <w:r>
        <w:rPr>
          <w:bCs/>
          <w:b/>
        </w:rPr>
        <w:t xml:space="preserve">b</w:t>
      </w:r>
      <w:r>
        <w:t xml:space="preserve">, Drawing</w:t>
      </w:r>
      <w:r>
        <w:t xml:space="preserve"> </w:t>
      </w:r>
      <w:r>
        <w:rPr>
          <w:iCs/>
          <w:i/>
        </w:rPr>
        <w:t xml:space="preserve">k</w:t>
      </w:r>
      <w:r>
        <w:t xml:space="preserve"> </w:t>
      </w:r>
      <w:r>
        <w:t xml:space="preserve">evaluation units without replacement and recomputing both aggregates, the percentage of draws in which the ranking reverses, against the ranking on the full pool. The two pairs that cross architecture families sit at</w:t>
      </w:r>
      <w:r>
        <w:t xml:space="preserve"> </w:t>
      </w:r>
      <w:r>
        <w:rPr>
          <w:iCs/>
          <w:i/>
        </w:rPr>
        <w:t xml:space="preserve">d</w:t>
      </w:r>
      <w:r>
        <w:t xml:space="preserve"> </w:t>
      </w:r>
      <w:r>
        <w:t xml:space="preserve">= 0.87 and 0.95 and are stable from four units; every same-family pair falls below</w:t>
      </w:r>
      <w:r>
        <w:t xml:space="preserve"> </w:t>
      </w:r>
      <w:r>
        <w:rPr>
          <w:iCs/>
          <w:i/>
        </w:rPr>
        <w:t xml:space="preserve">d</w:t>
      </w:r>
      <w:r>
        <w:t xml:space="preserve"> </w:t>
      </w:r>
      <w:r>
        <w:t xml:space="preserve">= 0.52 and several remain above the 5% line at every unit count the corpus allows. Durian pairs rest on eight farms, so their curves stop at six and carry a finite-population correction; GWHD, BreaKHis and HAR rest on 47, 81 and 30.</w:t>
      </w:r>
    </w:p>
    <w:p>
      <w:pPr>
        <w:pStyle w:val="BodyText"/>
      </w:pPr>
      <w:r>
        <w:rPr>
          <w:bCs/>
          <w:b/>
        </w:rPr>
        <w:t xml:space="preserve">Fig. 5 | A selection bias inside the protocol.</w:t>
      </w:r>
      <w:r>
        <w:t xml:space="preserve"> </w:t>
      </w:r>
      <w:r>
        <w:t xml:space="preserve">Under leave-one-unit-out the checkpoint is chosen on the unit it is then scored on.</w:t>
      </w:r>
      <w:r>
        <w:t xml:space="preserve"> </w:t>
      </w:r>
      <w:r>
        <w:rPr>
          <w:bCs/>
          <w:b/>
        </w:rPr>
        <w:t xml:space="preserve">a</w:t>
      </w:r>
      <w:r>
        <w:t xml:space="preserve">, The number of points the reported figure falls when the final-epoch weights are used instead, for the seven dataset–model combinations that retained them. This isolates best-epoch selection; early stopping on the same signal remains in both arms, so the effect shown is a lower bound. The item-level figure moves by 0.1 to 1.1 points and the unit-level figure by 2.5 to 9.5, in every case.</w:t>
      </w:r>
      <w:r>
        <w:t xml:space="preserve"> </w:t>
      </w:r>
      <w:r>
        <w:rPr>
          <w:bCs/>
          <w:b/>
        </w:rPr>
        <w:t xml:space="preserve">b</w:t>
      </w:r>
      <w:r>
        <w:t xml:space="preserve">, The resulting overstatement, selected checkpoint against final epoch. The rise is 12.3–17.3 points on durian, 7.7–8.8 on wheat and 2.4–2.8 on histopathology, in the same order as the partitioning effect itself. Panel</w:t>
      </w:r>
      <w:r>
        <w:t xml:space="preserve"> </w:t>
      </w:r>
      <w:r>
        <w:rPr>
          <w:bCs/>
          <w:b/>
        </w:rPr>
        <w:t xml:space="preserve">a</w:t>
      </w:r>
      <w:r>
        <w:t xml:space="preserve"> </w:t>
      </w:r>
      <w:r>
        <w:t xml:space="preserve">is drawn in points rather than in the metrics themselves because detection mAP50 and classification top-1 do not share a scale; absolute levels are in Supplementary Table 6.</w:t>
      </w:r>
    </w:p>
    <w:bookmarkEnd w:id="27"/>
    <w:bookmarkStart w:id="28" w:name="supplementary-information"/>
    <w:p>
      <w:pPr>
        <w:pStyle w:val="Heading2"/>
      </w:pPr>
      <w:r>
        <w:t xml:space="preserve">Supplementary information</w:t>
      </w:r>
    </w:p>
    <w:p>
      <w:pPr>
        <w:pStyle w:val="FirstParagraph"/>
      </w:pPr>
      <w:r>
        <w:t xml:space="preserve">Supplementary Tables 1–17, Supplementary Figure 1 and Supplementary Notes 1–4 are provided separately.</w:t>
      </w:r>
    </w:p>
    <w:bookmarkEnd w:id="28"/>
    <w:bookmarkStart w:id="29" w:name="use-of-ai-tools"/>
    <w:p>
      <w:pPr>
        <w:pStyle w:val="Heading2"/>
      </w:pPr>
      <w:r>
        <w:t xml:space="preserve">Use of AI tools</w:t>
      </w:r>
    </w:p>
    <w:p>
      <w:pPr>
        <w:pStyle w:val="FirstParagraph"/>
      </w:pPr>
      <w:r>
        <w:t xml:space="preserve">All fieldwork, image capture, annotation review, class definition, model training and the decision to withdraw the claims noted above were carried out by the author. A large language model (Claude, Anthropic) was used as a coding and editing assistant: it drafted analysis and audit scripts operating on the released tables and data, assisted with editing the manuscript and located candidate references. The author reviewed every script and its output and re-ran each on the released data, and takes full responsibility for the content.</w:t>
      </w:r>
    </w:p>
    <w:bookmarkEnd w:id="29"/>
    <w:bookmarkStart w:id="30" w:name="competing-interests"/>
    <w:p>
      <w:pPr>
        <w:pStyle w:val="Heading2"/>
      </w:pPr>
      <w:r>
        <w:t xml:space="preserve">Competing interests</w:t>
      </w:r>
    </w:p>
    <w:p>
      <w:pPr>
        <w:pStyle w:val="FirstParagraph"/>
      </w:pPr>
      <w:r>
        <w:t xml:space="preserve">The author is developing an expert system for crop disease detection and has a potential financial interest in the domain the durian study evaluates. Access to the Sabah orchards was facilitated by a commercial partner who had no role in study design, data collection, annotation, analysis or the decision to publish, and provided no funding, products or data.</w:t>
      </w:r>
    </w:p>
    <w:bookmarkEnd w:id="30"/>
    <w:bookmarkStart w:id="31" w:name="acknowledgements"/>
    <w:p>
      <w:pPr>
        <w:pStyle w:val="Heading2"/>
      </w:pPr>
      <w:r>
        <w:t xml:space="preserve">Acknowledgements</w:t>
      </w:r>
    </w:p>
    <w:p>
      <w:pPr>
        <w:pStyle w:val="FirstParagraph"/>
      </w:pPr>
      <w:r>
        <w:t xml:space="preserve">The author thanks the collaborating grower in Johor, who set the symptom-recognition standard in the field, and the orchard manager in Lahad Datu for access to the Sabah site.</w:t>
      </w:r>
    </w:p>
    <w:bookmarkEnd w:id="31"/>
    <w:bookmarkStart w:id="32" w:name="author-contributions"/>
    <w:p>
      <w:pPr>
        <w:pStyle w:val="Heading2"/>
      </w:pPr>
      <w:r>
        <w:t xml:space="preserve">Author contributions</w:t>
      </w:r>
    </w:p>
    <w:p>
      <w:pPr>
        <w:pStyle w:val="FirstParagraph"/>
      </w:pPr>
      <w:r>
        <w:t xml:space="preserve">L.D.S. conceived the study, collected and annotated the durian data, performed all analyses and wrote the manuscript.</w:t>
      </w:r>
    </w:p>
    <w:bookmarkEnd w:id="32"/>
    <w:bookmarkStart w:id="33" w:name="references"/>
    <w:p>
      <w:pPr>
        <w:pStyle w:val="Heading2"/>
      </w:pPr>
      <w:r>
        <w:t xml:space="preserve">References</w:t>
      </w:r>
    </w:p>
    <w:p>
      <w:pPr>
        <w:numPr>
          <w:ilvl w:val="0"/>
          <w:numId w:val="1001"/>
        </w:numPr>
        <w:pStyle w:val="Compact"/>
      </w:pPr>
      <w:r>
        <w:t xml:space="preserve">Xu, M. et al. Plant disease recognition datasets in the age of deep learning: challenges and opportunities.</w:t>
      </w:r>
      <w:r>
        <w:t xml:space="preserve"> </w:t>
      </w:r>
      <w:r>
        <w:rPr>
          <w:iCs/>
          <w:i/>
        </w:rPr>
        <w:t xml:space="preserve">Front. Plant Sci.</w:t>
      </w:r>
      <w:r>
        <w:t xml:space="preserve"> </w:t>
      </w:r>
      <w:r>
        <w:rPr>
          <w:bCs/>
          <w:b/>
        </w:rPr>
        <w:t xml:space="preserve">15</w:t>
      </w:r>
      <w:r>
        <w:t xml:space="preserve">, 1452551 (2024).</w:t>
      </w:r>
    </w:p>
    <w:p>
      <w:pPr>
        <w:numPr>
          <w:ilvl w:val="0"/>
          <w:numId w:val="1001"/>
        </w:numPr>
        <w:pStyle w:val="Compact"/>
      </w:pPr>
      <w:r>
        <w:t xml:space="preserve">Noyan, M. A. Uncovering bias in the PlantVillage dataset. Preprint at arXiv:2206.04374 (2022).</w:t>
      </w:r>
    </w:p>
    <w:p>
      <w:pPr>
        <w:numPr>
          <w:ilvl w:val="0"/>
          <w:numId w:val="1001"/>
        </w:numPr>
        <w:pStyle w:val="Compact"/>
      </w:pPr>
      <w:r>
        <w:t xml:space="preserve">David, E. et al. Global Wheat Head Detection (GWHD) dataset.</w:t>
      </w:r>
      <w:r>
        <w:t xml:space="preserve"> </w:t>
      </w:r>
      <w:r>
        <w:rPr>
          <w:iCs/>
          <w:i/>
        </w:rPr>
        <w:t xml:space="preserve">Plant Phenomics</w:t>
      </w:r>
      <w:r>
        <w:t xml:space="preserve"> </w:t>
      </w:r>
      <w:r>
        <w:rPr>
          <w:bCs/>
          <w:b/>
        </w:rPr>
        <w:t xml:space="preserve">2020</w:t>
      </w:r>
      <w:r>
        <w:t xml:space="preserve">, 3521852 (2020).</w:t>
      </w:r>
    </w:p>
    <w:p>
      <w:pPr>
        <w:numPr>
          <w:ilvl w:val="0"/>
          <w:numId w:val="1001"/>
        </w:numPr>
        <w:pStyle w:val="Compact"/>
      </w:pPr>
      <w:r>
        <w:t xml:space="preserve">David, E. et al. Global Wheat Head Detection 2021: an improved dataset for benchmarking wheat head detection methods.</w:t>
      </w:r>
      <w:r>
        <w:t xml:space="preserve"> </w:t>
      </w:r>
      <w:r>
        <w:rPr>
          <w:iCs/>
          <w:i/>
        </w:rPr>
        <w:t xml:space="preserve">Plant Phenomics</w:t>
      </w:r>
      <w:r>
        <w:t xml:space="preserve"> </w:t>
      </w:r>
      <w:r>
        <w:rPr>
          <w:bCs/>
          <w:b/>
        </w:rPr>
        <w:t xml:space="preserve">2021</w:t>
      </w:r>
      <w:r>
        <w:t xml:space="preserve">, 9846158 (2021).</w:t>
      </w:r>
    </w:p>
    <w:p>
      <w:pPr>
        <w:numPr>
          <w:ilvl w:val="0"/>
          <w:numId w:val="1001"/>
        </w:numPr>
        <w:pStyle w:val="Compact"/>
      </w:pPr>
      <w:r>
        <w:t xml:space="preserve">David, E. et al. Global Wheat Head Detection challenges: winning models and application for head counting.</w:t>
      </w:r>
      <w:r>
        <w:t xml:space="preserve"> </w:t>
      </w:r>
      <w:r>
        <w:rPr>
          <w:iCs/>
          <w:i/>
        </w:rPr>
        <w:t xml:space="preserve">Plant Phenomics</w:t>
      </w:r>
      <w:r>
        <w:t xml:space="preserve"> </w:t>
      </w:r>
      <w:r>
        <w:rPr>
          <w:bCs/>
          <w:b/>
        </w:rPr>
        <w:t xml:space="preserve">5</w:t>
      </w:r>
      <w:r>
        <w:t xml:space="preserve">, 0059 (2023).</w:t>
      </w:r>
    </w:p>
    <w:p>
      <w:pPr>
        <w:numPr>
          <w:ilvl w:val="0"/>
          <w:numId w:val="1001"/>
        </w:numPr>
        <w:pStyle w:val="Compact"/>
      </w:pPr>
      <w:r>
        <w:t xml:space="preserve">Koh, P. W. et al. WILDS: a benchmark of in-the-wild distribution shifts.</w:t>
      </w:r>
      <w:r>
        <w:t xml:space="preserve"> </w:t>
      </w:r>
      <w:r>
        <w:rPr>
          <w:iCs/>
          <w:i/>
        </w:rPr>
        <w:t xml:space="preserve">Proc. ICML</w:t>
      </w:r>
      <w:r>
        <w:t xml:space="preserve"> </w:t>
      </w:r>
      <w:r>
        <w:t xml:space="preserve">(2021).</w:t>
      </w:r>
    </w:p>
    <w:p>
      <w:pPr>
        <w:numPr>
          <w:ilvl w:val="0"/>
          <w:numId w:val="1001"/>
        </w:numPr>
        <w:pStyle w:val="Compact"/>
      </w:pPr>
      <w:r>
        <w:t xml:space="preserve">Saeb, S., Lonini, L., Jayaraman, A., Mohr, D. C. &amp; Kording, K. P. The need to approximate the use-case in clinical machine learning.</w:t>
      </w:r>
      <w:r>
        <w:t xml:space="preserve"> </w:t>
      </w:r>
      <w:r>
        <w:rPr>
          <w:iCs/>
          <w:i/>
        </w:rPr>
        <w:t xml:space="preserve">GigaScience</w:t>
      </w:r>
      <w:r>
        <w:t xml:space="preserve"> </w:t>
      </w:r>
      <w:r>
        <w:rPr>
          <w:bCs/>
          <w:b/>
        </w:rPr>
        <w:t xml:space="preserve">6</w:t>
      </w:r>
      <w:r>
        <w:t xml:space="preserve">, gix019 (2017).</w:t>
      </w:r>
    </w:p>
    <w:p>
      <w:pPr>
        <w:numPr>
          <w:ilvl w:val="0"/>
          <w:numId w:val="1001"/>
        </w:numPr>
        <w:pStyle w:val="Compact"/>
      </w:pPr>
      <w:r>
        <w:t xml:space="preserve">Chaibub Neto, E. et al. Detecting the impact of subject characteristics on machine learning-based diagnostic applications.</w:t>
      </w:r>
      <w:r>
        <w:t xml:space="preserve"> </w:t>
      </w:r>
      <w:r>
        <w:rPr>
          <w:iCs/>
          <w:i/>
        </w:rPr>
        <w:t xml:space="preserve">npj Digit. Med.</w:t>
      </w:r>
      <w:r>
        <w:t xml:space="preserve"> </w:t>
      </w:r>
      <w:r>
        <w:rPr>
          <w:bCs/>
          <w:b/>
        </w:rPr>
        <w:t xml:space="preserve">2</w:t>
      </w:r>
      <w:r>
        <w:t xml:space="preserve">, 99 (2019).</w:t>
      </w:r>
    </w:p>
    <w:p>
      <w:pPr>
        <w:numPr>
          <w:ilvl w:val="0"/>
          <w:numId w:val="1001"/>
        </w:numPr>
        <w:pStyle w:val="Compact"/>
      </w:pPr>
      <w:r>
        <w:t xml:space="preserve">Brookshire, G. et al. Data leakage in deep learning studies of translational EEG.</w:t>
      </w:r>
      <w:r>
        <w:t xml:space="preserve"> </w:t>
      </w:r>
      <w:r>
        <w:rPr>
          <w:iCs/>
          <w:i/>
        </w:rPr>
        <w:t xml:space="preserve">Front. Neurosci.</w:t>
      </w:r>
      <w:r>
        <w:t xml:space="preserve"> </w:t>
      </w:r>
      <w:r>
        <w:rPr>
          <w:bCs/>
          <w:b/>
        </w:rPr>
        <w:t xml:space="preserve">18</w:t>
      </w:r>
      <w:r>
        <w:t xml:space="preserve">, 1373515 (2024).</w:t>
      </w:r>
    </w:p>
    <w:p>
      <w:pPr>
        <w:numPr>
          <w:ilvl w:val="0"/>
          <w:numId w:val="1001"/>
        </w:numPr>
        <w:pStyle w:val="Compact"/>
      </w:pPr>
      <w:r>
        <w:t xml:space="preserve">Tampu, I. E., Eklund, A. &amp; Haj-Hosseini, N. Inflation of test accuracy due to data leakage in deep learning analysis of optical coherence tomography.</w:t>
      </w:r>
      <w:r>
        <w:t xml:space="preserve"> </w:t>
      </w:r>
      <w:r>
        <w:rPr>
          <w:iCs/>
          <w:i/>
        </w:rPr>
        <w:t xml:space="preserve">Sci. Data</w:t>
      </w:r>
      <w:r>
        <w:t xml:space="preserve"> </w:t>
      </w:r>
      <w:r>
        <w:rPr>
          <w:bCs/>
          <w:b/>
        </w:rPr>
        <w:t xml:space="preserve">9</w:t>
      </w:r>
      <w:r>
        <w:t xml:space="preserve">, 580 (2022).</w:t>
      </w:r>
    </w:p>
    <w:p>
      <w:pPr>
        <w:numPr>
          <w:ilvl w:val="0"/>
          <w:numId w:val="1001"/>
        </w:numPr>
        <w:pStyle w:val="Compact"/>
      </w:pPr>
      <w:r>
        <w:t xml:space="preserve">Varoquaux, G. &amp; Cheplygina, V. Machine learning for medical imaging: methodological failures and recommendations for the future.</w:t>
      </w:r>
      <w:r>
        <w:t xml:space="preserve"> </w:t>
      </w:r>
      <w:r>
        <w:rPr>
          <w:iCs/>
          <w:i/>
        </w:rPr>
        <w:t xml:space="preserve">npj Digit. Med.</w:t>
      </w:r>
      <w:r>
        <w:t xml:space="preserve"> </w:t>
      </w:r>
      <w:r>
        <w:rPr>
          <w:bCs/>
          <w:b/>
        </w:rPr>
        <w:t xml:space="preserve">5</w:t>
      </w:r>
      <w:r>
        <w:t xml:space="preserve">, 48 (2022).</w:t>
      </w:r>
    </w:p>
    <w:p>
      <w:pPr>
        <w:numPr>
          <w:ilvl w:val="0"/>
          <w:numId w:val="1001"/>
        </w:numPr>
        <w:pStyle w:val="Compact"/>
      </w:pPr>
      <w:r>
        <w:t xml:space="preserve">Kapoor, S. &amp; Narayanan, A. Leakage and the reproducibility crisis in machine-learning-based science.</w:t>
      </w:r>
      <w:r>
        <w:t xml:space="preserve"> </w:t>
      </w:r>
      <w:r>
        <w:rPr>
          <w:iCs/>
          <w:i/>
        </w:rPr>
        <w:t xml:space="preserve">Patterns</w:t>
      </w:r>
      <w:r>
        <w:t xml:space="preserve"> </w:t>
      </w:r>
      <w:r>
        <w:rPr>
          <w:bCs/>
          <w:b/>
        </w:rPr>
        <w:t xml:space="preserve">4</w:t>
      </w:r>
      <w:r>
        <w:t xml:space="preserve">, 100804 (2023).</w:t>
      </w:r>
    </w:p>
    <w:p>
      <w:pPr>
        <w:numPr>
          <w:ilvl w:val="0"/>
          <w:numId w:val="1001"/>
        </w:numPr>
        <w:pStyle w:val="Compact"/>
      </w:pPr>
      <w:r>
        <w:t xml:space="preserve">Hughes, D. P. &amp; Salathé, M. An open access repository of images on plant health. Preprint at arXiv:1511.08060 (2015).</w:t>
      </w:r>
    </w:p>
    <w:p>
      <w:pPr>
        <w:numPr>
          <w:ilvl w:val="0"/>
          <w:numId w:val="1001"/>
        </w:numPr>
        <w:pStyle w:val="Compact"/>
      </w:pPr>
      <w:r>
        <w:t xml:space="preserve">Singh, D. et al. PlantDoc: a dataset for visual plant disease detection.</w:t>
      </w:r>
      <w:r>
        <w:t xml:space="preserve"> </w:t>
      </w:r>
      <w:r>
        <w:rPr>
          <w:iCs/>
          <w:i/>
        </w:rPr>
        <w:t xml:space="preserve">Proc. CoDS-COMAD</w:t>
      </w:r>
      <w:r>
        <w:t xml:space="preserve"> </w:t>
      </w:r>
      <w:r>
        <w:t xml:space="preserve">249–253 (2020).</w:t>
      </w:r>
    </w:p>
    <w:p>
      <w:pPr>
        <w:numPr>
          <w:ilvl w:val="0"/>
          <w:numId w:val="1001"/>
        </w:numPr>
        <w:pStyle w:val="Compact"/>
      </w:pPr>
      <w:r>
        <w:t xml:space="preserve">Moupojou, E. et al. FieldPlant: a dataset of field plant images for plant disease detection and classification with deep learning.</w:t>
      </w:r>
      <w:r>
        <w:t xml:space="preserve"> </w:t>
      </w:r>
      <w:r>
        <w:rPr>
          <w:iCs/>
          <w:i/>
        </w:rPr>
        <w:t xml:space="preserve">IEEE Access</w:t>
      </w:r>
      <w:r>
        <w:t xml:space="preserve"> </w:t>
      </w:r>
      <w:r>
        <w:rPr>
          <w:bCs/>
          <w:b/>
        </w:rPr>
        <w:t xml:space="preserve">11</w:t>
      </w:r>
      <w:r>
        <w:t xml:space="preserve">, 35398–35410 (2023).</w:t>
      </w:r>
    </w:p>
    <w:p>
      <w:pPr>
        <w:numPr>
          <w:ilvl w:val="0"/>
          <w:numId w:val="1001"/>
        </w:numPr>
        <w:pStyle w:val="Compact"/>
      </w:pPr>
      <w:r>
        <w:t xml:space="preserve">Thanh, T. N. et al. A durian leaf image dataset of common diseases in Vietnam for agricultural diagnosis.</w:t>
      </w:r>
      <w:r>
        <w:t xml:space="preserve"> </w:t>
      </w:r>
      <w:r>
        <w:rPr>
          <w:iCs/>
          <w:i/>
        </w:rPr>
        <w:t xml:space="preserve">Data Brief</w:t>
      </w:r>
      <w:r>
        <w:t xml:space="preserve"> </w:t>
      </w:r>
      <w:r>
        <w:rPr>
          <w:bCs/>
          <w:b/>
        </w:rPr>
        <w:t xml:space="preserve">61</w:t>
      </w:r>
      <w:r>
        <w:t xml:space="preserve">, 111845 (2025).</w:t>
      </w:r>
    </w:p>
    <w:p>
      <w:pPr>
        <w:numPr>
          <w:ilvl w:val="0"/>
          <w:numId w:val="1001"/>
        </w:numPr>
        <w:pStyle w:val="Compact"/>
      </w:pPr>
      <w:r>
        <w:t xml:space="preserve">Gomes, R. R. et al. </w:t>
      </w:r>
      <w:r>
        <w:rPr>
          <w:iCs/>
          <w:i/>
        </w:rPr>
        <w:t xml:space="preserve">Diaporthe</w:t>
      </w:r>
      <w:r>
        <w:t xml:space="preserve">: a genus of endophytic, saprobic and plant pathogenic fungi.</w:t>
      </w:r>
      <w:r>
        <w:t xml:space="preserve"> </w:t>
      </w:r>
      <w:r>
        <w:rPr>
          <w:iCs/>
          <w:i/>
        </w:rPr>
        <w:t xml:space="preserve">Persoonia</w:t>
      </w:r>
      <w:r>
        <w:t xml:space="preserve"> </w:t>
      </w:r>
      <w:r>
        <w:rPr>
          <w:bCs/>
          <w:b/>
        </w:rPr>
        <w:t xml:space="preserve">31</w:t>
      </w:r>
      <w:r>
        <w:t xml:space="preserve">, 1–41 (2013).</w:t>
      </w:r>
    </w:p>
    <w:p>
      <w:pPr>
        <w:numPr>
          <w:ilvl w:val="0"/>
          <w:numId w:val="1001"/>
        </w:numPr>
        <w:pStyle w:val="Compact"/>
      </w:pPr>
      <w:r>
        <w:t xml:space="preserve">Udayanga, D. et al. The genus</w:t>
      </w:r>
      <w:r>
        <w:t xml:space="preserve"> </w:t>
      </w:r>
      <w:r>
        <w:rPr>
          <w:iCs/>
          <w:i/>
        </w:rPr>
        <w:t xml:space="preserve">Phomopsis</w:t>
      </w:r>
      <w:r>
        <w:t xml:space="preserve">: biology, applications, species concepts and names of common phytopathogens.</w:t>
      </w:r>
      <w:r>
        <w:t xml:space="preserve"> </w:t>
      </w:r>
      <w:r>
        <w:rPr>
          <w:iCs/>
          <w:i/>
        </w:rPr>
        <w:t xml:space="preserve">Fungal Divers.</w:t>
      </w:r>
      <w:r>
        <w:t xml:space="preserve"> </w:t>
      </w:r>
      <w:r>
        <w:rPr>
          <w:bCs/>
          <w:b/>
        </w:rPr>
        <w:t xml:space="preserve">50</w:t>
      </w:r>
      <w:r>
        <w:t xml:space="preserve">, 189–225 (2011).</w:t>
      </w:r>
    </w:p>
    <w:p>
      <w:pPr>
        <w:numPr>
          <w:ilvl w:val="0"/>
          <w:numId w:val="1001"/>
        </w:numPr>
        <w:pStyle w:val="Compact"/>
      </w:pPr>
      <w:r>
        <w:t xml:space="preserve">Jocher, G. &amp; Qiu, J. Ultralytics YOLO11, version 11.0.0. https://github.com/ultralytics/ultralytics (2024).</w:t>
      </w:r>
    </w:p>
    <w:p>
      <w:pPr>
        <w:numPr>
          <w:ilvl w:val="0"/>
          <w:numId w:val="1001"/>
        </w:numPr>
        <w:pStyle w:val="Compact"/>
      </w:pPr>
      <w:r>
        <w:t xml:space="preserve">Zhao, Y. et al. DETRs beat YOLOs on real-time object detection.</w:t>
      </w:r>
      <w:r>
        <w:t xml:space="preserve"> </w:t>
      </w:r>
      <w:r>
        <w:rPr>
          <w:iCs/>
          <w:i/>
        </w:rPr>
        <w:t xml:space="preserve">Proc. IEEE/CVF Conf. Computer Vision and Pattern Recognition</w:t>
      </w:r>
      <w:r>
        <w:t xml:space="preserve"> </w:t>
      </w:r>
      <w:r>
        <w:t xml:space="preserve">16965–16974 (2024).</w:t>
      </w:r>
    </w:p>
    <w:p>
      <w:pPr>
        <w:numPr>
          <w:ilvl w:val="0"/>
          <w:numId w:val="1001"/>
        </w:numPr>
        <w:pStyle w:val="Compact"/>
      </w:pPr>
      <w:r>
        <w:t xml:space="preserve">Lin, T.-Y. et al. Microsoft COCO: common objects in context.</w:t>
      </w:r>
      <w:r>
        <w:t xml:space="preserve"> </w:t>
      </w:r>
      <w:r>
        <w:rPr>
          <w:iCs/>
          <w:i/>
        </w:rPr>
        <w:t xml:space="preserve">Proc. ECCV</w:t>
      </w:r>
      <w:r>
        <w:t xml:space="preserve"> </w:t>
      </w:r>
      <w:r>
        <w:t xml:space="preserve">740–755 (2014).</w:t>
      </w:r>
    </w:p>
    <w:p>
      <w:pPr>
        <w:numPr>
          <w:ilvl w:val="0"/>
          <w:numId w:val="1001"/>
        </w:numPr>
        <w:pStyle w:val="Compact"/>
      </w:pPr>
      <w:r>
        <w:t xml:space="preserve">Anguita, D. et al. A public domain dataset for human activity recognition using smartphones.</w:t>
      </w:r>
      <w:r>
        <w:t xml:space="preserve"> </w:t>
      </w:r>
      <w:r>
        <w:rPr>
          <w:iCs/>
          <w:i/>
        </w:rPr>
        <w:t xml:space="preserve">Proc. ESANN</w:t>
      </w:r>
      <w:r>
        <w:t xml:space="preserve"> </w:t>
      </w:r>
      <w:r>
        <w:t xml:space="preserve">437–442 (2013).</w:t>
      </w:r>
    </w:p>
    <w:p>
      <w:pPr>
        <w:numPr>
          <w:ilvl w:val="0"/>
          <w:numId w:val="1001"/>
        </w:numPr>
        <w:pStyle w:val="Compact"/>
      </w:pPr>
      <w:r>
        <w:t xml:space="preserve">Spanhol, F. A., Oliveira, L. S., Petitjean, C. &amp; Heutte, L. A dataset for breast cancer histopathological image classification.</w:t>
      </w:r>
      <w:r>
        <w:t xml:space="preserve"> </w:t>
      </w:r>
      <w:r>
        <w:rPr>
          <w:iCs/>
          <w:i/>
        </w:rPr>
        <w:t xml:space="preserve">IEEE Trans. Biomed. Eng.</w:t>
      </w:r>
      <w:r>
        <w:t xml:space="preserve"> </w:t>
      </w:r>
      <w:r>
        <w:rPr>
          <w:bCs/>
          <w:b/>
        </w:rPr>
        <w:t xml:space="preserve">63</w:t>
      </w:r>
      <w:r>
        <w:t xml:space="preserve">, 1455–1462 (2016).</w:t>
      </w:r>
    </w:p>
    <w:p>
      <w:pPr>
        <w:numPr>
          <w:ilvl w:val="0"/>
          <w:numId w:val="1001"/>
        </w:numPr>
        <w:pStyle w:val="Compact"/>
      </w:pPr>
      <w:r>
        <w:t xml:space="preserve">O’Gara, E., Guest, D. I. &amp; Hassan, N. M. Botany and production of durian in Southeast Asia. In</w:t>
      </w:r>
      <w:r>
        <w:t xml:space="preserve"> </w:t>
      </w:r>
      <w:r>
        <w:rPr>
          <w:iCs/>
          <w:i/>
        </w:rPr>
        <w:t xml:space="preserve">Diversity and Management of Phytophthora in Southeast Asia</w:t>
      </w:r>
      <w:r>
        <w:t xml:space="preserve"> </w:t>
      </w:r>
      <w:r>
        <w:t xml:space="preserve">180–186 (ACIAR Monograph 114, 2004).</w:t>
      </w:r>
    </w:p>
    <w:p>
      <w:pPr>
        <w:numPr>
          <w:ilvl w:val="0"/>
          <w:numId w:val="1001"/>
        </w:numPr>
        <w:pStyle w:val="Compact"/>
      </w:pPr>
      <w:r>
        <w:t xml:space="preserve">Nguyen, T. Image dataset of ten durian diseases captured in real-field conditions from a family orchard in Vinh Long, Vietnam.</w:t>
      </w:r>
      <w:r>
        <w:t xml:space="preserve"> </w:t>
      </w:r>
      <w:r>
        <w:rPr>
          <w:iCs/>
          <w:i/>
        </w:rPr>
        <w:t xml:space="preserve">Data Brief</w:t>
      </w:r>
      <w:r>
        <w:t xml:space="preserve"> </w:t>
      </w:r>
      <w:r>
        <w:rPr>
          <w:bCs/>
          <w:b/>
        </w:rPr>
        <w:t xml:space="preserve">63</w:t>
      </w:r>
      <w:r>
        <w:t xml:space="preserve">, 112244 (2025).</w:t>
      </w:r>
    </w:p>
    <w:p>
      <w:pPr>
        <w:numPr>
          <w:ilvl w:val="0"/>
          <w:numId w:val="1001"/>
        </w:numPr>
        <w:pStyle w:val="Compact"/>
      </w:pPr>
      <w:r>
        <w:t xml:space="preserve">Debray, T. P. A. et al. Transparent reporting of multivariable prediction models developed or validated using clustered data: TRIPOD-Cluster checklist.</w:t>
      </w:r>
      <w:r>
        <w:t xml:space="preserve"> </w:t>
      </w:r>
      <w:r>
        <w:rPr>
          <w:iCs/>
          <w:i/>
        </w:rPr>
        <w:t xml:space="preserve">BMJ</w:t>
      </w:r>
      <w:r>
        <w:t xml:space="preserve"> </w:t>
      </w:r>
      <w:r>
        <w:rPr>
          <w:bCs/>
          <w:b/>
        </w:rPr>
        <w:t xml:space="preserve">380</w:t>
      </w:r>
      <w:r>
        <w:t xml:space="preserve">, e071018 (2023).</w:t>
      </w:r>
    </w:p>
    <w:p>
      <w:pPr>
        <w:numPr>
          <w:ilvl w:val="0"/>
          <w:numId w:val="1001"/>
        </w:numPr>
        <w:pStyle w:val="Compact"/>
      </w:pPr>
      <w:r>
        <w:t xml:space="preserve">Hong, T., Lim, D. &amp; Bae, W. Beyond point estimates: reliable evaluation of prediction performance metrics under clustered data. Preprint at arXiv:2606.03656 (2026).</w:t>
      </w:r>
    </w:p>
    <w:p>
      <w:pPr>
        <w:numPr>
          <w:ilvl w:val="0"/>
          <w:numId w:val="1001"/>
        </w:numPr>
        <w:pStyle w:val="Compact"/>
      </w:pPr>
      <w:r>
        <w:t xml:space="preserve">Bouthillier, X. et al. Accounting for variance in machine learning benchmarks.</w:t>
      </w:r>
      <w:r>
        <w:t xml:space="preserve"> </w:t>
      </w:r>
      <w:r>
        <w:rPr>
          <w:iCs/>
          <w:i/>
        </w:rPr>
        <w:t xml:space="preserve">Proc. Machine Learning and Systems</w:t>
      </w:r>
      <w:r>
        <w:t xml:space="preserve"> </w:t>
      </w:r>
      <w:r>
        <w:rPr>
          <w:bCs/>
          <w:b/>
        </w:rPr>
        <w:t xml:space="preserve">3</w:t>
      </w:r>
      <w:r>
        <w:t xml:space="preserve">, 747–769 (2021).</w:t>
      </w:r>
    </w:p>
    <w:p>
      <w:pPr>
        <w:numPr>
          <w:ilvl w:val="0"/>
          <w:numId w:val="1001"/>
        </w:numPr>
        <w:pStyle w:val="Compact"/>
      </w:pPr>
      <w:r>
        <w:t xml:space="preserve">Varoquaux, G. Cross-validation failure: small sample sizes lead to large error bars.</w:t>
      </w:r>
      <w:r>
        <w:t xml:space="preserve"> </w:t>
      </w:r>
      <w:r>
        <w:rPr>
          <w:iCs/>
          <w:i/>
        </w:rPr>
        <w:t xml:space="preserve">NeuroImage</w:t>
      </w:r>
      <w:r>
        <w:t xml:space="preserve"> </w:t>
      </w:r>
      <w:r>
        <w:rPr>
          <w:bCs/>
          <w:b/>
        </w:rPr>
        <w:t xml:space="preserve">180</w:t>
      </w:r>
      <w:r>
        <w:t xml:space="preserve">, 68–77 (2018).</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2026-09-11T04:41:12Z</dcterms:created>
  <dcterms:modified xsi:type="dcterms:W3CDTF">2026-09-11T04:41:12Z</dcterms:modified>
</cp:coreProperties>
</file>

<file path=docProps/custom.xml><?xml version="1.0" encoding="utf-8"?>
<Properties xmlns="http://schemas.openxmlformats.org/officeDocument/2006/custom-properties" xmlns:vt="http://schemas.openxmlformats.org/officeDocument/2006/docPropsVTypes"/>
</file>