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commonly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from three architecture families scored 1.6–2.3 times lower mAP50 on unseen farms than on a random split. The held-out farm, not the detector, determined most of the score: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336 training runs with training length held constant, more farms and more images per farm both raised unseen-farm accuracy, by amounts that could not be distinguished (0.038 and 0.028 mAP50 per doubling); part of the value of a farm lay in the classes it carried.</w:t>
      </w:r>
    </w:p>
    <w:p>
      <w:pPr>
        <w:numPr>
          <w:ilvl w:val="0"/>
          <w:numId w:val="1001"/>
        </w:numPr>
        <w:pStyle w:val="Compact"/>
      </w:pPr>
      <w:r>
        <w:t xml:space="preserve">With the fine-tuning recipe tested, fine-tuning a trained detector on a few images from a new farm made it worse on that farm, whereas adding about 50 such images to the training set and retraining improved it; a new farm’s images are better used as additional training data.</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annotations, farm identifiers and split manifests are deposited on Zenodo, and the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and differs in task, unit, annotation and analysis; this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2026-09-30T15:14:02Z</dcterms:created>
  <dcterms:modified xsi:type="dcterms:W3CDTF">2026-09-30T15:14:02Z</dcterms:modified>
</cp:coreProperties>
</file>

<file path=docProps/custom.xml><?xml version="1.0" encoding="utf-8"?>
<Properties xmlns="http://schemas.openxmlformats.org/officeDocument/2006/custom-properties" xmlns:vt="http://schemas.openxmlformats.org/officeDocument/2006/docPropsVTypes"/>
</file>