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"/>
    <w:p>
      <w:pPr>
        <w:pStyle w:val="Heading1"/>
      </w:pPr>
      <w:r>
        <w:t xml:space="preserve">Declaration of interest</w:t>
      </w:r>
    </w:p>
    <w:p>
      <w:pPr>
        <w:pStyle w:val="FirstParagraph"/>
      </w:pPr>
      <w:r>
        <w:t xml:space="preserve">☐ 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☒ The author declares the following financial interests/personal relationships which may be considered as potential competing interests:</w:t>
      </w:r>
    </w:p>
    <w:p>
      <w:pPr>
        <w:pStyle w:val="BodyText"/>
      </w:pPr>
      <w:r>
        <w:t xml:space="preserve">The author is developing a handheld decision-support device for durian disease and pest scouting and has a potential financial interest in the domain this study evaluates. Access to the Sabah orchards was facilitated by a commercial partner who had no role in study design, data collection, annotation, analysis or the decision to publish, and provided no funding, products or data.</w:t>
      </w:r>
    </w:p>
    <w:p>
      <w:pPr>
        <w:pStyle w:val="BodyText"/>
      </w:pPr>
      <w:r>
        <w:t xml:space="preserve">Lin Ding Shan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2026-09-29T22:24:19Z</dcterms:created>
  <dcterms:modified xsi:type="dcterms:W3CDTF">2026-09-29T22:24:19Z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