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Four 3-h runs profile native vs containerised inference on a Raspberry Pi 5</w:t>
      </w:r>
    </w:p>
    <w:p>
      <w:pPr>
        <w:numPr>
          <w:ilvl w:val="0"/>
          <w:numId w:val="1001"/>
        </w:numPr>
        <w:pStyle w:val="Compact"/>
      </w:pPr>
      <w:r>
        <w:t xml:space="preserve">Power advantage reverses once normalised: energy per inference is 2.3% higher</w:t>
      </w:r>
    </w:p>
    <w:p>
      <w:pPr>
        <w:numPr>
          <w:ilvl w:val="0"/>
          <w:numId w:val="1001"/>
        </w:numPr>
        <w:pStyle w:val="Compact"/>
      </w:pPr>
      <w:r>
        <w:t xml:space="preserve">The 45.6% mean latency gap narrows to 1 ms at the 95th percentile</w:t>
      </w:r>
    </w:p>
    <w:p>
      <w:pPr>
        <w:numPr>
          <w:ilvl w:val="0"/>
          <w:numId w:val="1001"/>
        </w:numPr>
        <w:pStyle w:val="Compact"/>
      </w:pPr>
      <w:r>
        <w:t xml:space="preserve">Host and container differed in runtime version, so overhead is not attributable</w:t>
      </w:r>
    </w:p>
    <w:p>
      <w:pPr>
        <w:numPr>
          <w:ilvl w:val="0"/>
          <w:numId w:val="1001"/>
        </w:numPr>
        <w:pStyle w:val="Compact"/>
      </w:pPr>
      <w:r>
        <w:t xml:space="preserve">311,683 quiescent frames, zero false positives; 4 intrusions all routed alike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2026-09-20T07:56:22Z</dcterms:created>
  <dcterms:modified xsi:type="dcterms:W3CDTF">2026-09-20T07:56:22Z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