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Four 3-h runs profile native vs containerised inference on a Raspberry Pi 5</w:t>
      </w:r>
    </w:p>
    <w:p>
      <w:pPr>
        <w:numPr>
          <w:ilvl w:val="0"/>
          <w:numId w:val="1001"/>
        </w:numPr>
        <w:pStyle w:val="Compact"/>
      </w:pPr>
      <w:r>
        <w:t xml:space="preserve">Power advantage reverses once normalised: energy per inference is 2.3% higher</w:t>
      </w:r>
    </w:p>
    <w:p>
      <w:pPr>
        <w:numPr>
          <w:ilvl w:val="0"/>
          <w:numId w:val="1001"/>
        </w:numPr>
        <w:pStyle w:val="Compact"/>
      </w:pPr>
      <w:r>
        <w:t xml:space="preserve">Five frames of confirmation accumulate 41.5 ms against a 2.5 s alert path</w:t>
      </w:r>
    </w:p>
    <w:p>
      <w:pPr>
        <w:numPr>
          <w:ilvl w:val="0"/>
          <w:numId w:val="1001"/>
        </w:numPr>
        <w:pStyle w:val="Compact"/>
      </w:pPr>
      <w:r>
        <w:t xml:space="preserve">Host and container differed in runtime version, so overhead is not attributable</w:t>
      </w:r>
    </w:p>
    <w:p>
      <w:pPr>
        <w:numPr>
          <w:ilvl w:val="0"/>
          <w:numId w:val="1001"/>
        </w:numPr>
        <w:pStyle w:val="Compact"/>
      </w:pPr>
      <w:r>
        <w:t xml:space="preserve">Deployed node peaked at 77.7 C, 4.3 C from throttling; the bench reached 68.3 C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2026-09-20T11:03:07Z</dcterms:created>
  <dcterms:modified xsi:type="dcterms:W3CDTF">2026-09-20T11:03:07Z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