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测试文稿：预训练语言模型研究</w:t>
      </w:r>
    </w:p>
    <w:p>
      <w:r>
        <w:t>深度学习在自然语言处理领域取得了显著进展</w:t>
      </w:r>
      <w:r>
        <w:rPr>
          <w:vertAlign w:val="superscript"/>
        </w:rPr>
      </w:r>
      <w:hyperlink w:anchor="ref_vaswani2017">
        <w:r>
          <w:rPr>
            <w:rFonts w:ascii="Times New Roman" w:hAnsi="Times New Roman" w:eastAsia="宋体"/>
            <w:color w:val="0563C1"/>
            <w:u w:val="single"/>
            <w:vertAlign w:val="superscript"/>
          </w:rPr>
          <w:t>(Vaswani et al., 2017)</w:t>
        </w:r>
      </w:hyperlink>
      <w:r>
        <w:t>，这一结论在多项研究中得到验证。</w:t>
      </w:r>
    </w:p>
    <w:p>
      <w:r>
        <w:t>注意力机制是 Transformer 的核心组件</w:t>
      </w:r>
      <w:r/>
      <w:hyperlink w:anchor="ref_vaswani2017">
        <w:r>
          <w:rPr>
            <w:rFonts w:ascii="Times New Roman" w:hAnsi="Times New Roman" w:eastAsia="宋体"/>
            <w:color w:val="0563C1"/>
            <w:u w:val="single"/>
            <w:vertAlign w:val="superscript"/>
          </w:rPr>
          <w:t>(Vaswani et al., 2017)</w:t>
        </w:r>
      </w:hyperlink>
      <w:r>
        <w:t>，其重要性已被广泛认可。</w:t>
      </w:r>
    </w:p>
    <w:p>
      <w:r>
        <w:t>近期研究进一步表明</w:t>
      </w:r>
      <w:hyperlink w:anchor="ref_devlin2019">
        <w:r>
          <w:rPr>
            <w:rFonts w:ascii="Times New Roman" w:hAnsi="Times New Roman" w:eastAsia="宋体"/>
            <w:color w:val="0563C1"/>
            <w:u w:val="single"/>
            <w:vertAlign w:val="superscript"/>
          </w:rPr>
          <w:t>(Devlin et al., 2019)</w:t>
        </w:r>
      </w:hyperlink>
      <w:r>
        <w:t>预训练模型可以显著提升下游任务表现</w:t>
      </w:r>
      <w:r>
        <w:t>。</w:t>
      </w:r>
    </w:p>
    <w:p>
      <w:r>
        <w:t>本文在前人工作基础上开展研究，提出了一种改进的训练策略。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参考文献</w:t>
      </w:r>
    </w:p>
    <w:p>
      <w:pPr>
        <w:ind w:left="420" w:hanging="420"/>
        <w:jc w:val="both"/>
      </w:pPr>
      <w:bookmarkStart w:id="7" w:name="ref_devlin2019"/>
      <w:r>
        <w:rPr>
          <w:rFonts w:ascii="Times New Roman" w:hAnsi="Times New Roman" w:eastAsia="宋体"/>
        </w:rPr>
        <w:t>DEVLIN J, CHANG MW, LEE K, et al. BERT: Pre-training of deep bidirectional transformers for language understanding[J]. </w:t>
      </w:r>
      <w:r>
        <w:rPr>
          <w:rFonts w:ascii="Times New Roman" w:hAnsi="Times New Roman" w:eastAsia="宋体"/>
          <w:i/>
        </w:rPr>
        <w:t>Proceedings of NAACL-HLT</w:t>
      </w:r>
      <w:r>
        <w:rPr>
          <w:rFonts w:ascii="Times New Roman" w:hAnsi="Times New Roman" w:eastAsia="宋体"/>
        </w:rPr>
        <w:t>, 2019. </w:t>
      </w:r>
      <w:hyperlink r:id="rId9" w:tooltip="打开论文页面">
        <w:r>
          <w:rPr>
            <w:rFonts w:ascii="Times New Roman" w:hAnsi="Times New Roman" w:eastAsia="宋体"/>
            <w:color w:val="0563C1"/>
            <w:u w:val="single"/>
          </w:rPr>
          <w:t>https://doi.org/10.18653/v1/N19-1423</w:t>
        </w:r>
      </w:hyperlink>
      <w:r>
        <w:rPr>
          <w:rFonts w:ascii="Times New Roman" w:hAnsi="Times New Roman" w:eastAsia="宋体"/>
        </w:rPr>
        <w:t>.</w:t>
      </w:r>
      <w:bookmarkEnd w:id="7"/>
    </w:p>
    <w:p>
      <w:pPr>
        <w:ind w:left="420" w:hanging="420"/>
        <w:jc w:val="both"/>
      </w:pPr>
      <w:bookmarkStart w:id="8" w:name="ref_vaswani2017"/>
      <w:r>
        <w:rPr>
          <w:rFonts w:ascii="Times New Roman" w:hAnsi="Times New Roman" w:eastAsia="宋体"/>
        </w:rPr>
        <w:t>VASWANI A, SHAZEER N, PARMAR N, et al. Attention is all you need[J]. </w:t>
      </w:r>
      <w:r>
        <w:rPr>
          <w:rFonts w:ascii="Times New Roman" w:hAnsi="Times New Roman" w:eastAsia="宋体"/>
          <w:i/>
        </w:rPr>
        <w:t>Advances in Neural Information Processing Systems</w:t>
      </w:r>
      <w:r>
        <w:rPr>
          <w:rFonts w:ascii="Times New Roman" w:hAnsi="Times New Roman" w:eastAsia="宋体"/>
        </w:rPr>
        <w:t>, 2017, 30. </w:t>
      </w:r>
      <w:hyperlink r:id="rId10" w:tooltip="打开论文页面">
        <w:r>
          <w:rPr>
            <w:rFonts w:ascii="Times New Roman" w:hAnsi="Times New Roman" w:eastAsia="宋体"/>
            <w:color w:val="0563C1"/>
            <w:u w:val="single"/>
          </w:rPr>
          <w:t>https://doi.org/10.5555/3295222.3295349</w:t>
        </w:r>
      </w:hyperlink>
      <w:r>
        <w:rPr>
          <w:rFonts w:ascii="Times New Roman" w:hAnsi="Times New Roman" w:eastAsia="宋体"/>
        </w:rPr>
        <w:t>.</w:t>
      </w:r>
      <w:bookmarkEnd w:id="8"/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8653/v1/N19-1423" TargetMode="External"/><Relationship Id="rId10" Type="http://schemas.openxmlformats.org/officeDocument/2006/relationships/hyperlink" Target="https://doi.org/10.5555/3295222.329534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