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Nature Communications｜晶型调控新依据！成分判据...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12 个关键写作点。核心论点包括：Nature Communications｜晶型调控新依据！成分判据预测金属增材 制造 CET 转变；Ryan Brooke, Duyao Zhang, Dong Qiu ，et al.。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Nature Communications｜晶型调控新依据！成分判据预测金属增材 制造 CET 转变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Nature Communications｜晶型调控新依据！成分判据预测金属增材 制造 CET 转变</w:t>
      </w:r>
    </w:p>
    <w:p>
      <w:bookmarkStart w:id="1" w:name="wp_wp006"/>
      <w:pPr>
        <w:pStyle w:val="PackHeading2"/>
      </w:pPr>
      <w:r>
        <w:t>写作点 02 | discussion</w:t>
      </w:r>
      <w:bookmarkEnd w:id="1"/>
    </w:p>
    <w:p>
      <w:r>
        <w:rPr>
          <w:b/>
        </w:rPr>
        <w:t>Ryan Brooke, Duyao Zhang, Dong Qiu ，et 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Ryan Brooke, Duyao Zhang, Dong Qiu ，et al. Compositional criteria to predict</w:t>
      </w:r>
    </w:p>
    <w:p>
      <w:bookmarkStart w:id="2" w:name="wp_wp007"/>
      <w:pPr>
        <w:pStyle w:val="PackHeading2"/>
      </w:pPr>
      <w:r>
        <w:t>写作点 03 | discussion</w:t>
      </w:r>
      <w:bookmarkEnd w:id="2"/>
    </w:p>
    <w:p>
      <w:r>
        <w:rPr>
          <w:b/>
        </w:rPr>
        <w:t>columnar to equiaxed transitions in metal additive manufacturing[J].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columnar to equiaxed transitions in metal additive manufacturing[J]. Nature</w:t>
      </w:r>
    </w:p>
    <w:p>
      <w:bookmarkStart w:id="3" w:name="wp_wp014"/>
      <w:pPr>
        <w:pStyle w:val="PackHeading2"/>
      </w:pPr>
      <w:r>
        <w:t>写作点 04 | discussion</w:t>
      </w:r>
      <w:bookmarkEnd w:id="3"/>
    </w:p>
    <w:p>
      <w:r>
        <w:rPr>
          <w:b/>
        </w:rPr>
        <w:t>向能量沉积制备的Ti-Fe、Ti-Cu、Ti-Cu-Fe和Ti-Mo合金的实验结果表明，冷参数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向能量沉积制备的Ti-Fe、Ti-Cu、Ti-Cu-Fe和Ti-Mo合金的实验结果表明，冷参数</w:t>
      </w:r>
    </w:p>
    <w:p>
      <w:bookmarkStart w:id="4" w:name="wp_wp017"/>
      <w:pPr>
        <w:pStyle w:val="PackHeading2"/>
      </w:pPr>
      <w:r>
        <w:t>写作点 05 | discussion</w:t>
      </w:r>
      <w:bookmarkEnd w:id="4"/>
    </w:p>
    <w:p>
      <w:r>
        <w:rPr>
          <w:b/>
        </w:rPr>
        <w:t>造特有的高生长速率条件下，冷参数值与 dendrite tip undercooling（枝晶尖端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造特有的高生长速率条件下，冷参数值与 dendrite tip undercooling（枝晶尖端</w:t>
      </w:r>
    </w:p>
    <w:p>
      <w:bookmarkStart w:id="5" w:name="wp_wp019"/>
      <w:pPr>
        <w:pStyle w:val="PackHeading2"/>
      </w:pPr>
      <w:r>
        <w:t>写作点 06 | discussion</w:t>
      </w:r>
      <w:bookmarkEnd w:id="5"/>
    </w:p>
    <w:p>
      <w:r>
        <w:rPr>
          <w:b/>
        </w:rPr>
        <w:t>图1.所制备钛合金的母相晶粒形貌。在相应生长限制因子Q分别约为42 K和93 K的条件下制备的Ti-Fe (a,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图1.所制备钛合金的母相晶粒形貌。在相应生长限制因子Q分别约为42 K和93 K的条件下制备的Ti-Fe (a,</w:t>
      </w:r>
    </w:p>
    <w:p>
      <w:bookmarkStart w:id="6" w:name="wp_wp020"/>
      <w:pPr>
        <w:pStyle w:val="PackHeading2"/>
      </w:pPr>
      <w:r>
        <w:t>写作点 07 | discussion</w:t>
      </w:r>
      <w:bookmarkEnd w:id="6"/>
    </w:p>
    <w:p>
      <w:r>
        <w:rPr>
          <w:b/>
        </w:rPr>
        <w:t>b)、Ti-Cu-Fe (c, d) 和Ti-Cu (e, f) 合金。a–e图为基于电子背散射衍射数据重构的母相β晶粒。EBSD重构结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b)、Ti-Cu-Fe (c, d) 和Ti-Cu (e, f) 合金。a–e图为基于电子背散射衍射数据重构的母相β晶粒。EBSD重构结</w:t>
      </w:r>
    </w:p>
    <w:p>
      <w:bookmarkStart w:id="7" w:name="wp_wp021"/>
      <w:pPr>
        <w:pStyle w:val="PackHeading2"/>
      </w:pPr>
      <w:r>
        <w:t>写作点 08 | discussion</w:t>
      </w:r>
      <w:bookmarkEnd w:id="7"/>
    </w:p>
    <w:p>
      <w:r>
        <w:rPr>
          <w:b/>
        </w:rPr>
        <w:t>果采用AztecCrystal软件生成。f图为背散射电子图像，展示了由过共析Ti2Cu勾勒出的母相β晶粒。需注意的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果采用AztecCrystal软件生成。f图为背散射电子图像，展示了由过共析Ti2Cu勾勒出的母相β晶粒。需注意的</w:t>
      </w:r>
    </w:p>
    <w:p>
      <w:bookmarkStart w:id="8" w:name="wp_wp023"/>
      <w:pPr>
        <w:pStyle w:val="PackHeading2"/>
      </w:pPr>
      <w:r>
        <w:t>写作点 09 | discussion</w:t>
      </w:r>
      <w:bookmarkEnd w:id="8"/>
    </w:p>
    <w:p>
      <w:r>
        <w:rPr>
          <w:b/>
        </w:rPr>
        <w:t>从图1a–d可以观察到，Ti-Fe和Ti-Cu-Fe合金分别具有相似的晶粒形貌。较低Q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从图1a–d可以观察到，Ti-Fe和Ti-Cu-Fe合金分别具有相似的晶粒形貌。较低Q</w:t>
      </w:r>
    </w:p>
    <w:p>
      <w:bookmarkStart w:id="9" w:name="wp_wp024"/>
      <w:pPr>
        <w:pStyle w:val="PackHeading2"/>
      </w:pPr>
      <w:r>
        <w:t>写作点 10 | discussion</w:t>
      </w:r>
      <w:bookmarkEnd w:id="9"/>
    </w:p>
    <w:p>
      <w:r>
        <w:rPr>
          <w:b/>
        </w:rPr>
        <w:t>值的合金（Ti-4Fe和Ti-2.4Cu-2.4Fe）具有相近的平均晶粒尺寸，且均为柱状晶与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值的合金（Ti-4Fe和Ti-2.4Cu-2.4Fe）具有相近的平均晶粒尺寸，且均为柱状晶与</w:t>
      </w:r>
    </w:p>
    <w:p>
      <w:bookmarkStart w:id="10" w:name="wp_wp025"/>
      <w:pPr>
        <w:pStyle w:val="PackHeading2"/>
      </w:pPr>
      <w:r>
        <w:t>写作点 11 | discussion</w:t>
      </w:r>
      <w:bookmarkEnd w:id="10"/>
    </w:p>
    <w:p>
      <w:r>
        <w:rPr>
          <w:b/>
        </w:rPr>
        <w:t>等轴晶共存的混合组织。而在较高Q值下，Ti-8Fe和Ti-4.7Cu-4.7Fe合金则呈现全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等轴晶共存的混合组织。而在较高Q值下，Ti-8Fe和Ti-4.7Cu-4.7Fe合金则呈现全</w:t>
      </w:r>
    </w:p>
    <w:p>
      <w:bookmarkStart w:id="11" w:name="wp_wp029"/>
      <w:pPr>
        <w:pStyle w:val="PackHeading2"/>
      </w:pPr>
      <w:r>
        <w:t>写作点 12 | discussion</w:t>
      </w:r>
      <w:bookmarkEnd w:id="11"/>
    </w:p>
    <w:p>
      <w:r>
        <w:rPr>
          <w:b/>
        </w:rPr>
        <w:t>图2.采用与方法部分所述相同工艺制备的Ti-4Fe和Ti-12Mo合金在不同功率下的EBSD重构结果。EBSD重构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图2.采用与方法部分所述相同工艺制备的Ti-4Fe和Ti-12Mo合金在不同功率下的EBSD重构结果。EBSD重构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