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ckTitle"/>
        <w:jc w:val="center"/>
      </w:pPr>
      <w:r>
        <w:t>OLT2026 I 兰州理工大学 I 用于优化焊接成型与微...</w:t>
      </w:r>
    </w:p>
    <w:p>
      <w:pPr>
        <w:pStyle w:val="PackSubtitle"/>
        <w:jc w:val="center"/>
      </w:pPr>
      <w:r>
        <w:t>期刊级文献多模态证据聚合交付稿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分析目标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Conclusion Extraction</w:t>
            </w:r>
          </w:p>
        </w:tc>
      </w:tr>
      <w:tr>
        <w:tc>
          <w:tcPr>
            <w:tcW w:type="dxa" w:w="2268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产出时间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2026-04-13 00:52</w:t>
            </w:r>
          </w:p>
        </w:tc>
      </w:tr>
      <w:tr>
        <w:tc>
          <w:tcPr>
            <w:tcW w:type="dxa" w:w="2268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来源文件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2268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数据契约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v3.academic-synthesis</w:t>
            </w:r>
          </w:p>
        </w:tc>
      </w:tr>
    </w:tbl>
    <w:p>
      <w:pPr>
        <w:pStyle w:val="Heading1"/>
        <w:spacing w:before="240"/>
      </w:pPr>
      <w:r>
        <w:t>1. discussion</w:t>
      </w:r>
    </w:p>
    <w:p>
      <w:pPr>
        <w:spacing w:after="0"/>
      </w:pPr>
      <w:r>
        <w:t>本主题围绕“discussion”展开论述，整合了 12 个关键写作点。核心论点包括：OLT2026 I 兰州理工大学 I 用于优化焊接成型与微观结构控制的时空 光束整形技术！；Optics &amp; Laser Technology｜5.1｜中科院2区Top｜ Q1｜。</w:t>
      </w:r>
    </w:p>
    <w:p>
      <w:pPr>
        <w:pStyle w:val="Heading1"/>
      </w:pPr>
      <w:r>
        <w:t>Appendix: Original Evidence Trace</w:t>
      </w:r>
    </w:p>
    <w:p>
      <w:r>
        <w:br w:type="page"/>
      </w:r>
    </w:p>
    <w:p>
      <w:pPr>
        <w:pStyle w:val="PackHeading1"/>
      </w:pPr>
      <w:r>
        <w:t>核心写作点</w:t>
      </w:r>
    </w:p>
    <w:p>
      <w:bookmarkStart w:id="0" w:name="wp_wp001"/>
      <w:pPr>
        <w:pStyle w:val="PackHeading2"/>
      </w:pPr>
      <w:r>
        <w:t>写作点 01 | discussion</w:t>
      </w:r>
      <w:bookmarkEnd w:id="0"/>
    </w:p>
    <w:p>
      <w:r>
        <w:rPr>
          <w:b/>
        </w:rPr>
        <w:t>OLT2026 I 兰州理工大学 I 用于优化焊接成型与微观结构控制的时空 光束整形技术！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OLT2026 I 兰州理工大学 I 用于优化焊接成型与微观结构控制的时空 光束整形技术！</w:t>
      </w:r>
    </w:p>
    <w:p>
      <w:bookmarkStart w:id="1" w:name="wp_wp003"/>
      <w:pPr>
        <w:pStyle w:val="PackHeading2"/>
      </w:pPr>
      <w:r>
        <w:t>写作点 02 | discussion</w:t>
      </w:r>
      <w:bookmarkEnd w:id="1"/>
    </w:p>
    <w:p>
      <w:r>
        <w:rPr>
          <w:b/>
        </w:rPr>
        <w:t>Optics &amp; Laser Technology｜5.1｜中科院2区Top｜ Q1｜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Optics &amp; Laser Technology｜5.1｜中科院2区Top｜ Q1｜</w:t>
      </w:r>
    </w:p>
    <w:p>
      <w:bookmarkStart w:id="2" w:name="wp_wp012"/>
      <w:pPr>
        <w:pStyle w:val="PackHeading2"/>
      </w:pPr>
      <w:r>
        <w:t>写作点 03 | discussion</w:t>
      </w:r>
      <w:bookmarkEnd w:id="2"/>
    </w:p>
    <w:p>
      <w:r>
        <w:rPr>
          <w:b/>
        </w:rPr>
        <w:t>22.6%，热影响区宽度缩减23.9%，有效抑制了镀层开裂现象。同时，焊缝区平均晶粒尺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22.6%，热影响区宽度缩减23.9%，有效抑制了镀层开裂现象。同时，焊缝区平均晶粒尺</w:t>
      </w:r>
    </w:p>
    <w:p>
      <w:bookmarkStart w:id="3" w:name="wp_wp013"/>
      <w:pPr>
        <w:pStyle w:val="PackHeading2"/>
      </w:pPr>
      <w:r>
        <w:t>写作点 04 | discussion</w:t>
      </w:r>
      <w:bookmarkEnd w:id="3"/>
    </w:p>
    <w:p>
      <w:r>
        <w:rPr>
          <w:b/>
        </w:rPr>
        <w:t>寸细化22.5%（从46.6 μm降至36.1 μm），大角度晶界比例提升13.37%，这促使熔池温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寸细化22.5%（从46.6 μm降至36.1 μm），大角度晶界比例提升13.37%，这促使熔池温</w:t>
      </w:r>
    </w:p>
    <w:p>
      <w:bookmarkStart w:id="4" w:name="wp_wp018"/>
      <w:pPr>
        <w:pStyle w:val="PackHeading2"/>
      </w:pPr>
      <w:r>
        <w:t>写作点 05 | discussion</w:t>
      </w:r>
      <w:bookmarkEnd w:id="4"/>
    </w:p>
    <w:p>
      <w:r>
        <w:rPr>
          <w:b/>
        </w:rPr>
        <w:t>图2.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图2. 扫描轨迹与功率调制波形 (a) 圆形扫描轨迹示意图，(b) T0，(c) T2，(d) T4。</w:t>
      </w:r>
    </w:p>
    <w:p>
      <w:bookmarkStart w:id="5" w:name="wp_wp019"/>
      <w:pPr>
        <w:pStyle w:val="PackHeading2"/>
      </w:pPr>
      <w:r>
        <w:t>写作点 06 | discussion</w:t>
      </w:r>
      <w:bookmarkEnd w:id="5"/>
    </w:p>
    <w:p>
      <w:r>
        <w:rPr>
          <w:b/>
        </w:rPr>
        <w:t>不同焊接模式下静止条件（vh=0）下的激光能量沉积效果。俯视图：(a) 单激光模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图3. 不同焊接模式下静止条件（vh=0）下的激光能量沉积效果。俯视图：(a) 单激光模</w:t>
      </w:r>
    </w:p>
    <w:p>
      <w:bookmarkStart w:id="6" w:name="wp_wp020"/>
      <w:pPr>
        <w:pStyle w:val="PackHeading2"/>
      </w:pPr>
      <w:r>
        <w:t>写作点 07 | discussion</w:t>
      </w:r>
      <w:bookmarkEnd w:id="6"/>
    </w:p>
    <w:p>
      <w:r>
        <w:rPr>
          <w:b/>
        </w:rPr>
        <w:t>式，(b) 传统检流计激光模式，(c) T4模式；侧视图：(d) 单激光模式，(e) 传统检流计激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式，(b) 传统检流计激光模式，(c) T4模式；侧视图：(d) 单激光模式，(e) 传统检流计激</w:t>
      </w:r>
    </w:p>
    <w:p>
      <w:bookmarkStart w:id="7" w:name="wp_wp022"/>
      <w:pPr>
        <w:pStyle w:val="PackHeading2"/>
      </w:pPr>
      <w:r>
        <w:t>写作点 08 | discussion</w:t>
      </w:r>
      <w:bookmarkEnd w:id="7"/>
    </w:p>
    <w:p>
      <w:r>
        <w:rPr>
          <w:b/>
        </w:rPr>
        <w:t>图4.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图4. 在焊接速度为30 mm/s时，不同功率调制幅度（T0、T2和T4）下沿焊缝路径的激光</w:t>
      </w:r>
    </w:p>
    <w:p>
      <w:bookmarkStart w:id="8" w:name="wp_wp023"/>
      <w:pPr>
        <w:pStyle w:val="PackHeading2"/>
      </w:pPr>
      <w:r>
        <w:t>写作点 09 | discussion</w:t>
      </w:r>
      <w:bookmarkEnd w:id="8"/>
    </w:p>
    <w:p>
      <w:r>
        <w:rPr>
          <w:b/>
        </w:rPr>
        <w:t>能量分布。横截面视图：(a)T0，(b)T2，(c)T4；侧视图：(d)T0，(e)T2，(f)T4。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能量分布。横截面视图：(a)T0，(b)T2，(c)T4；侧视图：(d)T0，(e)T2，(f)T4。</w:t>
      </w:r>
    </w:p>
    <w:p>
      <w:bookmarkStart w:id="9" w:name="wp_wp025"/>
      <w:pPr>
        <w:pStyle w:val="PackHeading2"/>
      </w:pPr>
      <w:r>
        <w:t>写作点 10 | discussion</w:t>
      </w:r>
      <w:bookmarkEnd w:id="9"/>
    </w:p>
    <w:p>
      <w:r>
        <w:rPr>
          <w:b/>
        </w:rPr>
        <w:t>图6.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图6. 不同激光功率调制幅度下的焊接表面形貌。俯视图：(a) T0，(b) T2，(c) T4；仰视</w:t>
      </w:r>
    </w:p>
    <w:p>
      <w:bookmarkStart w:id="10" w:name="wp_wp027"/>
      <w:pPr>
        <w:pStyle w:val="PackHeading2"/>
      </w:pPr>
      <w:r>
        <w:t>写作点 11 | discussion</w:t>
      </w:r>
      <w:bookmarkEnd w:id="10"/>
    </w:p>
    <w:p>
      <w:r>
        <w:rPr>
          <w:b/>
        </w:rPr>
        <w:t>图7.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图7. 不同激光功率调制幅度下焊缝的横截面形貌及尺寸变化。(a-c) T0、T2和T4模式下</w:t>
      </w:r>
    </w:p>
    <w:p>
      <w:bookmarkStart w:id="11" w:name="wp_wp028"/>
      <w:pPr>
        <w:pStyle w:val="PackHeading2"/>
      </w:pPr>
      <w:r>
        <w:t>写作点 12 | discussion</w:t>
      </w:r>
      <w:bookmarkEnd w:id="11"/>
    </w:p>
    <w:p>
      <w:r>
        <w:rPr>
          <w:b/>
        </w:rPr>
        <w:t>的横截面形貌；(d) 焊缝表面宽度、背面宽度及热影响区（HAZ）宽度的统计学变化。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的横截面形貌；(d) 焊缝表面宽度、背面宽度及热影响区（HAZ）宽度的统计学变化。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  <w:jc w:val="both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ckTitle">
    <w:name w:val="Pack Title"/>
    <w:basedOn w:val="Title"/>
    <w:rPr>
      <w:rFonts w:ascii="Times New Roman" w:hAnsi="Times New Roman" w:eastAsia="宋体"/>
      <w:b/>
      <w:color w:val="000000"/>
      <w:sz w:val="36"/>
    </w:rPr>
  </w:style>
  <w:style w:type="paragraph" w:customStyle="1" w:styleId="PackSubtitle">
    <w:name w:val="Pack Subtitle"/>
    <w:basedOn w:val="Subtitle"/>
    <w:rPr>
      <w:rFonts w:ascii="Times New Roman" w:hAnsi="Times New Roman" w:eastAsia="宋体"/>
      <w:b w:val="0"/>
      <w:color w:val="323232"/>
      <w:sz w:val="20"/>
    </w:rPr>
  </w:style>
  <w:style w:type="paragraph" w:customStyle="1" w:styleId="PackHeading1">
    <w:name w:val="Pack Heading 1"/>
    <w:basedOn w:val="Heading1"/>
    <w:rPr>
      <w:rFonts w:ascii="Times New Roman" w:hAnsi="Times New Roman" w:eastAsia="宋体"/>
      <w:b/>
      <w:color w:val="000000"/>
      <w:sz w:val="24"/>
    </w:rPr>
  </w:style>
  <w:style w:type="paragraph" w:customStyle="1" w:styleId="PackHeading2">
    <w:name w:val="Pack Heading 2"/>
    <w:basedOn w:val="Heading2"/>
    <w:rPr>
      <w:rFonts w:ascii="Times New Roman" w:hAnsi="Times New Roman" w:eastAsia="宋体"/>
      <w:b/>
      <w:color w:val="000000"/>
      <w:sz w:val="22"/>
    </w:rPr>
  </w:style>
  <w:style w:type="paragraph" w:customStyle="1" w:styleId="PackNote">
    <w:name w:val="Pack Note"/>
    <w:basedOn w:val="Normal"/>
    <w:rPr>
      <w:rFonts w:ascii="Times New Roman" w:hAnsi="Times New Roman" w:eastAsia="宋体"/>
      <w:b w:val="0"/>
      <w:color w:val="000000"/>
      <w:sz w:val="18"/>
    </w:rPr>
  </w:style>
  <w:style w:type="paragraph" w:customStyle="1" w:styleId="PackCaption">
    <w:name w:val="Pack Caption"/>
    <w:basedOn w:val="Normal"/>
    <w:rPr>
      <w:rFonts w:ascii="Times New Roman" w:hAnsi="Times New Roman" w:eastAsia="宋体"/>
      <w:b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