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ckTitle"/>
        <w:jc w:val="center"/>
      </w:pPr>
      <w:r>
        <w:t>eng-07-00129</w:t>
      </w:r>
    </w:p>
    <w:p>
      <w:pPr>
        <w:pStyle w:val="PackSubtitle"/>
        <w:jc w:val="center"/>
      </w:pPr>
      <w:r>
        <w:t>期刊级文献多模态证据聚合交付稿</w:t>
      </w:r>
    </w:p>
    <w:p/>
    <w:tbl>
      <w:tblPr>
        <w:tblW w:type="auto" w:w="0"/>
        <w:jc w:val="center"/>
        <w:tblLayout w:type="fixed"/>
        <w:tblLook w:firstColumn="1" w:firstRow="1" w:lastColumn="0" w:lastRow="0" w:noHBand="0" w:noVBand="1" w:val="04A0"/>
      </w:tblPr>
      <w:tblGrid>
        <w:gridCol w:w="4873"/>
        <w:gridCol w:w="4873"/>
      </w:tblGrid>
      <w:tr>
        <w:tc>
          <w:tcPr>
            <w:tcW w:type="dxa" w:w="2268"/>
            <w:shd w:fill="F2F2F2"/>
            <w:tcMar>
              <w:top w:w="80" w:type="dxa"/>
              <w:start w:w="100" w:type="dxa"/>
              <w:bottom w:w="80" w:type="dxa"/>
              <w:end w:w="100" w:type="dxa"/>
            </w:tcMar>
            <w:vAlign w:val="center"/>
          </w:tcPr>
          <w:p>
            <w:r>
              <w:t>分析目标</w:t>
            </w:r>
          </w:p>
        </w:tc>
        <w:tc>
          <w:tcPr>
            <w:tcW w:type="dxa" w:w="5669"/>
            <w:tcMar>
              <w:top w:w="80" w:type="dxa"/>
              <w:start w:w="100" w:type="dxa"/>
              <w:bottom w:w="80" w:type="dxa"/>
              <w:end w:w="100" w:type="dxa"/>
            </w:tcMar>
            <w:vAlign w:val="center"/>
          </w:tcPr>
          <w:p>
            <w:r>
              <w:t>Conclusion Extraction</w:t>
            </w:r>
          </w:p>
        </w:tc>
      </w:tr>
      <w:tr>
        <w:tc>
          <w:tcPr>
            <w:tcW w:type="dxa" w:w="2268"/>
            <w:shd w:fill="F2F2F2"/>
            <w:tcMar>
              <w:top w:w="80" w:type="dxa"/>
              <w:start w:w="100" w:type="dxa"/>
              <w:bottom w:w="80" w:type="dxa"/>
              <w:end w:w="100" w:type="dxa"/>
            </w:tcMar>
            <w:vAlign w:val="center"/>
          </w:tcPr>
          <w:p>
            <w:r>
              <w:t>产出时间</w:t>
            </w:r>
          </w:p>
        </w:tc>
        <w:tc>
          <w:tcPr>
            <w:tcW w:type="dxa" w:w="5669"/>
            <w:tcMar>
              <w:top w:w="80" w:type="dxa"/>
              <w:start w:w="100" w:type="dxa"/>
              <w:bottom w:w="80" w:type="dxa"/>
              <w:end w:w="100" w:type="dxa"/>
            </w:tcMar>
            <w:vAlign w:val="center"/>
          </w:tcPr>
          <w:p>
            <w:r>
              <w:t>2026-04-13 00:52</w:t>
            </w:r>
          </w:p>
        </w:tc>
      </w:tr>
      <w:tr>
        <w:tc>
          <w:tcPr>
            <w:tcW w:type="dxa" w:w="2268"/>
            <w:shd w:fill="F2F2F2"/>
            <w:tcMar>
              <w:top w:w="80" w:type="dxa"/>
              <w:start w:w="100" w:type="dxa"/>
              <w:bottom w:w="80" w:type="dxa"/>
              <w:end w:w="100" w:type="dxa"/>
            </w:tcMar>
            <w:vAlign w:val="center"/>
          </w:tcPr>
          <w:p>
            <w:r>
              <w:t>来源文件</w:t>
            </w:r>
          </w:p>
        </w:tc>
        <w:tc>
          <w:tcPr>
            <w:tcW w:type="dxa" w:w="5669"/>
            <w:tcMar>
              <w:top w:w="80" w:type="dxa"/>
              <w:start w:w="100" w:type="dxa"/>
              <w:bottom w:w="80" w:type="dxa"/>
              <w:end w:w="100" w:type="dxa"/>
            </w:tcMar>
            <w:vAlign w:val="center"/>
          </w:tcPr>
          <w:p>
            <w:r/>
          </w:p>
        </w:tc>
      </w:tr>
      <w:tr>
        <w:tc>
          <w:tcPr>
            <w:tcW w:type="dxa" w:w="2268"/>
            <w:shd w:fill="F2F2F2"/>
            <w:tcMar>
              <w:top w:w="80" w:type="dxa"/>
              <w:start w:w="100" w:type="dxa"/>
              <w:bottom w:w="80" w:type="dxa"/>
              <w:end w:w="100" w:type="dxa"/>
            </w:tcMar>
            <w:vAlign w:val="center"/>
          </w:tcPr>
          <w:p>
            <w:r>
              <w:t>数据契约</w:t>
            </w:r>
          </w:p>
        </w:tc>
        <w:tc>
          <w:tcPr>
            <w:tcW w:type="dxa" w:w="5669"/>
            <w:tcMar>
              <w:top w:w="80" w:type="dxa"/>
              <w:start w:w="100" w:type="dxa"/>
              <w:bottom w:w="80" w:type="dxa"/>
              <w:end w:w="100" w:type="dxa"/>
            </w:tcMar>
            <w:vAlign w:val="center"/>
          </w:tcPr>
          <w:p>
            <w:r>
              <w:t>v3.academic-synthesis</w:t>
            </w:r>
          </w:p>
        </w:tc>
      </w:tr>
    </w:tbl>
    <w:p>
      <w:pPr>
        <w:pStyle w:val="Heading1"/>
        <w:spacing w:before="240"/>
      </w:pPr>
      <w:r>
        <w:t>1. discussion</w:t>
      </w:r>
    </w:p>
    <w:p>
      <w:pPr>
        <w:spacing w:after="0"/>
      </w:pPr>
      <w:r>
        <w:t>本主题围绕“discussion”展开论述，整合了 4 个关键写作点。核心论点包括：Physically intuitive feature extraction, ML model for instability detection [14…；Conv LSTM-based classifier with VQVAE feature extraction and CGAN data augmenta…。</w:t>
      </w:r>
    </w:p>
    <w:p>
      <w:pPr>
        <w:pStyle w:val="Heading1"/>
        <w:spacing w:before="240"/>
      </w:pPr>
      <w:r>
        <w:t>2. discussion</w:t>
      </w:r>
    </w:p>
    <w:p>
      <w:pPr>
        <w:spacing w:after="0"/>
      </w:pPr>
      <w:r>
        <w:t>本主题围绕“discussion”展开论述，整合了 3 个关键写作点。核心论点包括：Sanae Tajalli Nobari * , Fabian Hanning , Yongcui Mi and Joerg Volpp；Department of Engineering Science, University West, 46186 Trollhättan, Sweden;。</w:t>
      </w:r>
    </w:p>
    <w:p>
      <w:pPr>
        <w:pStyle w:val="Heading1"/>
        <w:spacing w:before="240"/>
      </w:pPr>
      <w:r>
        <w:t>3. result</w:t>
      </w:r>
    </w:p>
    <w:p>
      <w:pPr>
        <w:spacing w:after="0"/>
      </w:pPr>
      <w:r>
        <w:t>本主题围绕“result”展开论述，整合了 2 个关键写作点。核心论点包括：Across the defect categories, observable raw signals support the extraction of…；A Time-Frequency Domain Feature Extraction Approach Enhanced by Computer Vision…。</w:t>
      </w:r>
    </w:p>
    <w:p>
      <w:pPr>
        <w:pStyle w:val="Heading1"/>
        <w:spacing w:before="240"/>
      </w:pPr>
      <w:r>
        <w:t>4. mechanism</w:t>
      </w:r>
    </w:p>
    <w:p>
      <w:pPr>
        <w:spacing w:after="0"/>
      </w:pPr>
      <w:r>
        <w:t>本主题围绕“mechanism”展开论述，整合了 1 个关键写作点。核心论点包括：Therefore, sensor-based feature extraction in metal AM can be broadly categoriz…。</w:t>
      </w:r>
    </w:p>
    <w:p>
      <w:pPr>
        <w:pStyle w:val="Heading1"/>
        <w:spacing w:before="240"/>
      </w:pPr>
      <w:r>
        <w:t>5. background</w:t>
      </w:r>
    </w:p>
    <w:p>
      <w:pPr>
        <w:spacing w:after="0"/>
      </w:pPr>
      <w:r>
        <w:t>本主题围绕“background”展开论述，整合了 1 个关键写作点。核心论点包括：Review Mechanisms, Sensors, and Signals for Defect Formation and In Situ Monito…。</w:t>
      </w:r>
    </w:p>
    <w:p>
      <w:pPr>
        <w:pStyle w:val="Heading1"/>
        <w:spacing w:before="240"/>
      </w:pPr>
      <w:r>
        <w:t>6. mechanism</w:t>
      </w:r>
    </w:p>
    <w:p>
      <w:pPr>
        <w:spacing w:after="0"/>
      </w:pPr>
      <w:r>
        <w:t>本主题围绕“mechanism”展开论述，整合了 1 个关键写作点。核心论点包括：Metal additive manufacturing (AM) facilitates the production of geometrically c…。</w:t>
      </w:r>
    </w:p>
    <w:p>
      <w:pPr>
        <w:pStyle w:val="Heading1"/>
      </w:pPr>
      <w:r>
        <w:t>Appendix: Original Evidence Trace</w:t>
      </w:r>
    </w:p>
    <w:p>
      <w:r>
        <w:br w:type="page"/>
      </w:r>
    </w:p>
    <w:p>
      <w:pPr>
        <w:pStyle w:val="PackHeading1"/>
      </w:pPr>
      <w:r>
        <w:t>核心写作点</w:t>
      </w:r>
    </w:p>
    <w:p>
      <w:bookmarkStart w:id="0" w:name="wp_wp038"/>
      <w:pPr>
        <w:pStyle w:val="PackHeading2"/>
      </w:pPr>
      <w:r>
        <w:t>写作点 01 | mechanism</w:t>
      </w:r>
      <w:bookmarkEnd w:id="0"/>
    </w:p>
    <w:p>
      <w:r>
        <w:rPr>
          <w:b/>
        </w:rPr>
        <w:t>Therefore, sensor-based feature extraction in metal AM can be broadly categorized according to the analysis domain.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1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On the other hand, time-series sensing has seen rapid growth, with piezoelectric or optical microphones placed on the build or in the chamber to record transient phenomena that resulted in LoF, or crack initiation. For time-series data, features can be organi…</w:t>
      </w:r>
    </w:p>
    <w:p>
      <w:bookmarkStart w:id="1" w:name="wp_wp145"/>
      <w:pPr>
        <w:pStyle w:val="PackHeading2"/>
      </w:pPr>
      <w:r>
        <w:t>写作点 02 | discussion</w:t>
      </w:r>
      <w:bookmarkEnd w:id="1"/>
    </w:p>
    <w:p>
      <w:r>
        <w:rPr>
          <w:b/>
        </w:rPr>
        <w:t>Physically intuitive feature extraction, ML model for instability detection [145]</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Physically intuitive feature extraction, ML model for instability detection [145]</w:t>
      </w:r>
    </w:p>
    <w:p>
      <w:bookmarkStart w:id="2" w:name="wp_wp179"/>
      <w:pPr>
        <w:pStyle w:val="PackHeading2"/>
      </w:pPr>
      <w:r>
        <w:t>写作点 03 | discussion</w:t>
      </w:r>
      <w:bookmarkEnd w:id="2"/>
    </w:p>
    <w:p>
      <w:r>
        <w:rPr>
          <w:b/>
        </w:rPr>
        <w:t>Conv LSTM-based classifier with VQVAE feature extraction and CGAN data augmentation [155]</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Conv LSTM-based classifier with VQVAE feature extraction and CGAN data augmentation [155]</w:t>
      </w:r>
    </w:p>
    <w:p>
      <w:bookmarkStart w:id="3" w:name="wp_wp238"/>
      <w:pPr>
        <w:pStyle w:val="PackHeading2"/>
      </w:pPr>
      <w:r>
        <w:t>写作点 04 | discussion</w:t>
      </w:r>
      <w:bookmarkEnd w:id="3"/>
    </w:p>
    <w:p>
      <w:r>
        <w:rPr>
          <w:b/>
        </w:rPr>
        <w:t>ConvLSTM model using VQVAE feature extraction and CGAN augmentation [155]</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ConvLSTM model using VQVAE feature extraction and CGAN augmentation [155]</w:t>
      </w:r>
    </w:p>
    <w:p>
      <w:bookmarkStart w:id="4" w:name="wp_wp293"/>
      <w:pPr>
        <w:pStyle w:val="PackHeading2"/>
      </w:pPr>
      <w:r>
        <w:t>写作点 05 | discussion</w:t>
      </w:r>
      <w:bookmarkEnd w:id="4"/>
    </w:p>
    <w:p>
      <w:r>
        <w:rPr>
          <w:b/>
        </w:rPr>
        <w:t>Particle tracking, image-sequence analysis, and morphology-based feature extraction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Particle tracking, image-sequence analysis, and morphology-based feature extraction</w:t>
      </w:r>
    </w:p>
    <w:p>
      <w:bookmarkStart w:id="5" w:name="wp_wp346"/>
      <w:pPr>
        <w:pStyle w:val="PackHeading2"/>
      </w:pPr>
      <w:r>
        <w:t>写作点 06 | result</w:t>
      </w:r>
      <w:bookmarkEnd w:id="5"/>
    </w:p>
    <w:p>
      <w:r>
        <w:rPr>
          <w:b/>
        </w:rPr>
        <w:t>Across the defect categories, observable raw signals support the extraction of engineered features in the time domain (RMS, variance, kurtosis), frequency domain (dominant bands, power spectral density (PSD) peaks), and time–frequency domain (wavelet or STFT transients), forming a unified basis for data-driven defect detection.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2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Across the defect categories, observable raw signals support the extraction of engineered features in the time domain (RMS, variance, kurtosis), frequency domain (dominant bands, power spectral density (PSD) peaks), and time–frequency domain (wavelet or STFT…</w:t>
      </w:r>
    </w:p>
    <w:p>
      <w:bookmarkStart w:id="6" w:name="wp_wp368"/>
      <w:pPr>
        <w:pStyle w:val="PackHeading2"/>
      </w:pPr>
      <w:r>
        <w:t>写作点 07 | result</w:t>
      </w:r>
      <w:bookmarkEnd w:id="6"/>
    </w:p>
    <w:p>
      <w:r>
        <w:rPr>
          <w:b/>
        </w:rPr>
        <w:t>A Time-Frequency Domain Feature Extraction Approach Enhanced by Computer Vision for Wire Arc Additive Manufacturing Monitoring Using Fourier and Wavelet Transform.</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46. Tan, Z.E.; Pang, J.H.L.; Kaminski, J.; Pepin, H. Characterisation of porosity, density, and microstructure of directed energy deposited stainless steel AISI 316L. Addit. Manuf. 2019, 25, 286–296. [CrossRef] 47. Siddique, S.; Imran, M.; Rauer, M.; Kaloudis…</w:t>
      </w:r>
    </w:p>
    <w:p>
      <w:bookmarkStart w:id="7" w:name="wp_wp001"/>
      <w:pPr>
        <w:pStyle w:val="PackHeading2"/>
      </w:pPr>
      <w:r>
        <w:t>写作点 08 | background</w:t>
      </w:r>
      <w:bookmarkEnd w:id="7"/>
    </w:p>
    <w:p>
      <w:r>
        <w:rPr>
          <w:b/>
        </w:rPr>
        <w:t>Review Mechanisms, Sensors, and Signals for Defect Formation and In Situ Monitoring in Metal Additive Manufacturing</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Review Mechanisms, Sensors, and Signals for Defect Formation and In Situ Monitoring in Metal Additive Manufacturing</w:t>
      </w:r>
    </w:p>
    <w:p>
      <w:bookmarkStart w:id="8" w:name="wp_wp002"/>
      <w:pPr>
        <w:pStyle w:val="PackHeading2"/>
      </w:pPr>
      <w:r>
        <w:t>写作点 09 | discussion</w:t>
      </w:r>
      <w:bookmarkEnd w:id="8"/>
    </w:p>
    <w:p>
      <w:r>
        <w:rPr>
          <w:b/>
        </w:rPr>
        <w:t>Sanae Tajalli Nobari * , Fabian Hanning , Yongcui Mi and Joerg Volpp</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Sanae Tajalli Nobari * , Fabian Hanning , Yongcui Mi and Joerg Volpp</w:t>
      </w:r>
    </w:p>
    <w:p>
      <w:bookmarkStart w:id="9" w:name="wp_wp003"/>
      <w:pPr>
        <w:pStyle w:val="PackHeading2"/>
      </w:pPr>
      <w:r>
        <w:t>写作点 10 | discussion</w:t>
      </w:r>
      <w:bookmarkEnd w:id="9"/>
    </w:p>
    <w:p>
      <w:r>
        <w:rPr>
          <w:b/>
        </w:rPr>
        <w:t>Department of Engineering Science, University West, 46186 Trollhättan, Sweden;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Department of Engineering Science, University West, 46186 Trollhättan, Sweden; fabian.hanning@hv.se (F.H.); yongcui.mi@hv.se (Y.M.); jorg.volpp@hv.se (J.V.) * Correspondence: sanae.tajalli-nobari@hv.se</w:t>
      </w:r>
    </w:p>
    <w:p>
      <w:bookmarkStart w:id="10" w:name="wp_wp004"/>
      <w:pPr>
        <w:pStyle w:val="PackHeading2"/>
      </w:pPr>
      <w:r>
        <w:t>写作点 11 | mechanism</w:t>
      </w:r>
      <w:bookmarkEnd w:id="10"/>
    </w:p>
    <w:p>
      <w:r>
        <w:rPr>
          <w:b/>
        </w:rPr>
        <w:t>Metal additive manufacturing (AM) facilitates the production of geometrically complex components, yet its broader industrial use remains limited by the risk of defect formation and uncertainties in their detection, originating from the highly dynamic and hightemperature process environment.</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Metal additive manufacturing (AM) facilitates the production of geometrically complex components, yet its broader industrial use remains limited by the risk of defect formation and uncertainties in their detection, originating from the highly dynamic and high…</w:t>
      </w:r>
    </w:p>
    <w:p>
      <w:bookmarkStart w:id="11" w:name="wp_wp005"/>
      <w:pPr>
        <w:pStyle w:val="PackHeading2"/>
      </w:pPr>
      <w:r>
        <w:t>写作点 12 | discussion</w:t>
      </w:r>
      <w:bookmarkEnd w:id="11"/>
    </w:p>
    <w:p>
      <w:r>
        <w:rPr>
          <w:b/>
        </w:rPr>
        <w:t>Keywords: directed energy deposition;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Keywords: directed energy deposition; powder bed fusion; imperfections; cracking; porosity; inclusions; inline monitoring</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Title">
    <w:name w:val="Pack Title"/>
    <w:basedOn w:val="Title"/>
    <w:rPr>
      <w:rFonts w:ascii="Times New Roman" w:hAnsi="Times New Roman" w:eastAsia="宋体"/>
      <w:b/>
      <w:color w:val="000000"/>
      <w:sz w:val="36"/>
    </w:rPr>
  </w:style>
  <w:style w:type="paragraph" w:customStyle="1" w:styleId="PackSubtitle">
    <w:name w:val="Pack Subtitle"/>
    <w:basedOn w:val="Subtitle"/>
    <w:rPr>
      <w:rFonts w:ascii="Times New Roman" w:hAnsi="Times New Roman" w:eastAsia="宋体"/>
      <w:b w:val="0"/>
      <w:color w:val="323232"/>
      <w:sz w:val="20"/>
    </w:rPr>
  </w:style>
  <w:style w:type="paragraph" w:customStyle="1" w:styleId="PackHeading1">
    <w:name w:val="Pack Heading 1"/>
    <w:basedOn w:val="Heading1"/>
    <w:rPr>
      <w:rFonts w:ascii="Times New Roman" w:hAnsi="Times New Roman" w:eastAsia="宋体"/>
      <w:b/>
      <w:color w:val="000000"/>
      <w:sz w:val="24"/>
    </w:rPr>
  </w:style>
  <w:style w:type="paragraph" w:customStyle="1" w:styleId="PackHeading2">
    <w:name w:val="Pack Heading 2"/>
    <w:basedOn w:val="Heading2"/>
    <w:rPr>
      <w:rFonts w:ascii="Times New Roman" w:hAnsi="Times New Roman" w:eastAsia="宋体"/>
      <w:b/>
      <w:color w:val="000000"/>
      <w:sz w:val="22"/>
    </w:rPr>
  </w:style>
  <w:style w:type="paragraph" w:customStyle="1" w:styleId="PackNote">
    <w:name w:val="Pack Note"/>
    <w:basedOn w:val="Normal"/>
    <w:rPr>
      <w:rFonts w:ascii="Times New Roman" w:hAnsi="Times New Roman" w:eastAsia="宋体"/>
      <w:b w:val="0"/>
      <w:color w:val="000000"/>
      <w:sz w:val="18"/>
    </w:rPr>
  </w:style>
  <w:style w:type="paragraph" w:customStyle="1" w:styleId="PackCaption">
    <w:name w:val="Pack Caption"/>
    <w:basedOn w:val="Normal"/>
    <w:rPr>
      <w:rFonts w:ascii="Times New Roman" w:hAnsi="Times New Roman" w:eastAsia="宋体"/>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