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ckTitle"/>
        <w:jc w:val="center"/>
      </w:pPr>
      <w:r>
        <w:t>s40436-026-00596-x</w:t>
      </w:r>
    </w:p>
    <w:p>
      <w:pPr>
        <w:pStyle w:val="PackSubtitle"/>
        <w:jc w:val="center"/>
      </w:pPr>
      <w:r>
        <w:t>期刊级文献多模态证据聚合交付稿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分析目标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Conclusion Extraction</w:t>
            </w:r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产出时间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2026-04-13 00:52</w:t>
            </w:r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来源文件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/>
          </w:p>
        </w:tc>
      </w:tr>
      <w:tr>
        <w:tc>
          <w:tcPr>
            <w:tcW w:type="dxa" w:w="2268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数据契约</w:t>
            </w:r>
          </w:p>
        </w:tc>
        <w:tc>
          <w:tcPr>
            <w:tcW w:type="dxa" w:w="5669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v3.academic-synthesis</w:t>
            </w:r>
          </w:p>
        </w:tc>
      </w:tr>
    </w:tbl>
    <w:p>
      <w:pPr>
        <w:pStyle w:val="Heading1"/>
        <w:spacing w:before="240"/>
      </w:pPr>
      <w:r>
        <w:t>1. discussion</w:t>
      </w:r>
    </w:p>
    <w:p>
      <w:pPr>
        <w:spacing w:after="0"/>
      </w:pPr>
      <w:r>
        <w:t>本主题围绕“discussion”展开论述，整合了 10 个关键写作点。核心论点包括：https://doi.org/10.1007/s40436-026-00596-x；Multi‑objective process parameter optimization using a hybrid reinforcement/mac…。</w:t>
      </w:r>
    </w:p>
    <w:p>
      <w:pPr>
        <w:pStyle w:val="Heading1"/>
        <w:spacing w:before="240"/>
      </w:pPr>
      <w:r>
        <w:t>2. result</w:t>
      </w:r>
    </w:p>
    <w:p>
      <w:pPr>
        <w:spacing w:after="0"/>
      </w:pPr>
      <w:r>
        <w:t>本主题围绕“result”展开论述，整合了 1 个关键写作点。核心论点包括：To allow for increased exploration during initial training phases and more expl…。</w:t>
      </w:r>
    </w:p>
    <w:p>
      <w:pPr>
        <w:pStyle w:val="Heading1"/>
        <w:spacing w:before="240"/>
      </w:pPr>
      <w:r>
        <w:t>3. result</w:t>
      </w:r>
    </w:p>
    <w:p>
      <w:pPr>
        <w:spacing w:after="0"/>
      </w:pPr>
      <w:r>
        <w:t>本主题围绕“result”展开论述，整合了 1 个关键写作点。核心论点包括：The GPR model achieved a high prediction accuracy (root mean squared error (RMS…。</w:t>
      </w:r>
    </w:p>
    <w:p>
      <w:pPr>
        <w:pStyle w:val="Heading1"/>
      </w:pPr>
      <w:r>
        <w:t>Appendix: Original Evidence Trace</w:t>
      </w:r>
    </w:p>
    <w:p>
      <w:r>
        <w:br w:type="page"/>
      </w:r>
    </w:p>
    <w:p>
      <w:pPr>
        <w:pStyle w:val="PackHeading1"/>
      </w:pPr>
      <w:r>
        <w:t>核心写作点</w:t>
      </w:r>
    </w:p>
    <w:p>
      <w:bookmarkStart w:id="0" w:name="wp_wp099"/>
      <w:pPr>
        <w:pStyle w:val="PackHeading2"/>
      </w:pPr>
      <w:r>
        <w:t>写作点 01 | result</w:t>
      </w:r>
      <w:bookmarkEnd w:id="0"/>
    </w:p>
    <w:p>
      <w:r>
        <w:rPr>
          <w:b/>
        </w:rPr>
        <w:t>To allow for increased exploration during initial training phases and more exploitation toward the conclusion, the parameter 휖 varies linearly with the episode number.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1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highest Q-value with a probability of 1 −휖 at each state. To allow for increased exploration during initial training phases and more exploitation toward the conclusion, the parameter 휖 varies linearly with the episode number. The hyperparameters of this model…</w:t>
      </w:r>
    </w:p>
    <w:p>
      <w:bookmarkStart w:id="1" w:name="wp_wp001"/>
      <w:pPr>
        <w:pStyle w:val="PackHeading2"/>
      </w:pPr>
      <w:r>
        <w:t>写作点 02 | discussion</w:t>
      </w:r>
      <w:bookmarkEnd w:id="1"/>
    </w:p>
    <w:p>
      <w:r>
        <w:rPr>
          <w:b/>
        </w:rPr>
        <w:t>https://doi.org/10.1007/s40436-026-00596-x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Adv. Manuf. https://doi.org/10.1007/s40436-026-00596-x</w:t>
      </w:r>
    </w:p>
    <w:p>
      <w:bookmarkStart w:id="2" w:name="wp_wp002"/>
      <w:pPr>
        <w:pStyle w:val="PackHeading2"/>
      </w:pPr>
      <w:r>
        <w:t>写作点 03 | discussion</w:t>
      </w:r>
      <w:bookmarkEnd w:id="2"/>
    </w:p>
    <w:p>
      <w:r>
        <w:rPr>
          <w:b/>
        </w:rPr>
        <w:t>Multi‑objective process parameter optimization using a hybrid reinforcement/machine learning model in metal additive manufacturing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Multi‑objective process parameter optimization using a hybrid reinforcement/machine learning model in metal additive manufacturing</w:t>
      </w:r>
    </w:p>
    <w:p>
      <w:bookmarkStart w:id="3" w:name="wp_wp003"/>
      <w:pPr>
        <w:pStyle w:val="PackHeading2"/>
      </w:pPr>
      <w:r>
        <w:t>写作点 04 | discussion</w:t>
      </w:r>
      <w:bookmarkEnd w:id="3"/>
    </w:p>
    <w:p>
      <w:r>
        <w:rPr>
          <w:b/>
        </w:rPr>
        <w:t>Arash Seifoddini1 · Arefeh Azad1 · Mohammad Hossein Mosallanejad2,3,4 · Abdollah Saboori3,4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Arash Seifoddini1 · Arefeh Azad1 · Mohammad Hossein Mosallanejad2,3,4 · Abdollah Saboori3,4</w:t>
      </w:r>
    </w:p>
    <w:p>
      <w:bookmarkStart w:id="4" w:name="wp_wp004"/>
      <w:pPr>
        <w:pStyle w:val="PackHeading2"/>
      </w:pPr>
      <w:r>
        <w:t>写作点 05 | discussion</w:t>
      </w:r>
      <w:bookmarkEnd w:id="4"/>
    </w:p>
    <w:p>
      <w:r>
        <w:rPr>
          <w:b/>
        </w:rPr>
        <w:t>Received: 23 February 2025 / Revised: 29 April 2025 / Accepted: 26 January 2026 © The Author(s) 2026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Received: 23 February 2025 / Revised: 29 April 2025 / Accepted: 26 January 2026 © The Author(s) 2026</w:t>
      </w:r>
    </w:p>
    <w:p>
      <w:bookmarkStart w:id="5" w:name="wp_wp005"/>
      <w:pPr>
        <w:pStyle w:val="PackHeading2"/>
      </w:pPr>
      <w:r>
        <w:t>写作点 06 | discussion</w:t>
      </w:r>
      <w:bookmarkEnd w:id="5"/>
    </w:p>
    <w:p>
      <w:r>
        <w:rPr>
          <w:b/>
        </w:rPr>
        <w:t>minimizing the normalized enthalpy, directly impacting the formation of the keyhole defect.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minimizing the normalized enthalpy, directly impacting the formation of the keyhole defect.</w:t>
      </w:r>
    </w:p>
    <w:p>
      <w:bookmarkStart w:id="6" w:name="wp_wp006"/>
      <w:pPr>
        <w:pStyle w:val="PackHeading2"/>
      </w:pPr>
      <w:r>
        <w:t>写作点 07 | discussion</w:t>
      </w:r>
      <w:bookmarkEnd w:id="6"/>
    </w:p>
    <w:p>
      <w:r>
        <w:rPr>
          <w:b/>
        </w:rPr>
        <w:t>Keywords Metal additive manufacturing · Laser powder bed fusion (L-PBF) · Machine learning (ML) · Q-learning · Normalized enthalpy · Keyhole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Keywords Metal additive manufacturing · Laser powder bed fusion (L-PBF) · Machine learning (ML) · Q-learning · Normalized enthalpy · Keyhole</w:t>
      </w:r>
    </w:p>
    <w:p>
      <w:bookmarkStart w:id="7" w:name="wp_wp008"/>
      <w:pPr>
        <w:pStyle w:val="PackHeading2"/>
      </w:pPr>
      <w:r>
        <w:t>写作点 08 | result</w:t>
      </w:r>
      <w:bookmarkEnd w:id="7"/>
    </w:p>
    <w:p>
      <w:r>
        <w:rPr>
          <w:b/>
        </w:rPr>
        <w:t>The GPR model achieved a high prediction accuracy (root mean squared error (RMSE): 34 µm, the coefficient of determination R2: 96.05%) for L-PBF Ti6Al4V alloy using minimal training data.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Abstract Additive manufacturing enables the production of complex geometries and lightweight structures. However, producing defect-free components fundamentally depends on the careful optimization of process parameters that influence critical factors, such as…</w:t>
      </w:r>
    </w:p>
    <w:p>
      <w:bookmarkStart w:id="8" w:name="wp_wp009"/>
      <w:pPr>
        <w:pStyle w:val="PackHeading2"/>
      </w:pPr>
      <w:r>
        <w:t>写作点 09 | discussion</w:t>
      </w:r>
      <w:bookmarkEnd w:id="8"/>
    </w:p>
    <w:p>
      <w:r>
        <w:rPr>
          <w:b/>
        </w:rPr>
        <w:t>* Abdollah Saboori abdollah.saboori@polito.it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* Abdollah Saboori abdollah.saboori@polito.it</w:t>
      </w:r>
    </w:p>
    <w:p>
      <w:bookmarkStart w:id="9" w:name="wp_wp010"/>
      <w:pPr>
        <w:pStyle w:val="PackHeading2"/>
      </w:pPr>
      <w:r>
        <w:t>写作点 10 | discussion</w:t>
      </w:r>
      <w:bookmarkEnd w:id="9"/>
    </w:p>
    <w:p>
      <w:r>
        <w:rPr>
          <w:b/>
        </w:rPr>
        <w:t>1 Department of Mechanical and Aerospace Engineering, Polytechnic University of Turin, 10129 Torino, Italy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1 Department of Mechanical and Aerospace Engineering, Polytechnic University of Turin, 10129 Torino, Italy</w:t>
      </w:r>
    </w:p>
    <w:p>
      <w:bookmarkStart w:id="10" w:name="wp_wp011"/>
      <w:pPr>
        <w:pStyle w:val="PackHeading2"/>
      </w:pPr>
      <w:r>
        <w:t>写作点 11 | discussion</w:t>
      </w:r>
      <w:bookmarkEnd w:id="10"/>
    </w:p>
    <w:p>
      <w:r>
        <w:rPr>
          <w:b/>
        </w:rPr>
        <w:t>2 Department of Materials Engineering, Isfahan University of Technology, Isfahan 84156–83111, Iran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2 Department of Materials Engineering, Isfahan University of Technology, Isfahan 84156–83111, Iran</w:t>
      </w:r>
    </w:p>
    <w:p>
      <w:bookmarkStart w:id="11" w:name="wp_wp012"/>
      <w:pPr>
        <w:pStyle w:val="PackHeading2"/>
      </w:pPr>
      <w:r>
        <w:t>写作点 12 | discussion</w:t>
      </w:r>
      <w:bookmarkEnd w:id="11"/>
    </w:p>
    <w:p>
      <w:r>
        <w:rPr>
          <w:b/>
        </w:rPr>
        <w:t>3 Department of Management and Production Engineering, Polytechnic University of Turin, 10129 Torino, Italy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关联证据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0 图 / 0 表 / 0 参数 / 0 结果 / 0 引用</w:t>
            </w:r>
          </w:p>
        </w:tc>
      </w:tr>
      <w:tr>
        <w:tc>
          <w:tcPr>
            <w:tcW w:type="dxa" w:w="1984"/>
            <w:shd w:fill="F2F2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所处页码</w:t>
            </w:r>
          </w:p>
        </w:tc>
        <w:tc>
          <w:tcPr>
            <w:tcW w:type="dxa" w:w="6520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t>[]</w:t>
            </w:r>
          </w:p>
        </w:tc>
      </w:tr>
    </w:tbl>
    <w:p>
      <w:pPr>
        <w:pStyle w:val="PackNote"/>
      </w:pPr>
      <w:r>
        <w:rPr>
          <w:b/>
        </w:rPr>
        <w:t>原文背景：</w:t>
      </w:r>
      <w:r>
        <w:t>3 Department of Management and Production Engineering, Polytechnic University of Turin, 10129 Torino, Italy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  <w:jc w:val="both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ckTitle">
    <w:name w:val="Pack Title"/>
    <w:basedOn w:val="Title"/>
    <w:rPr>
      <w:rFonts w:ascii="Times New Roman" w:hAnsi="Times New Roman" w:eastAsia="宋体"/>
      <w:b/>
      <w:color w:val="000000"/>
      <w:sz w:val="36"/>
    </w:rPr>
  </w:style>
  <w:style w:type="paragraph" w:customStyle="1" w:styleId="PackSubtitle">
    <w:name w:val="Pack Subtitle"/>
    <w:basedOn w:val="Subtitle"/>
    <w:rPr>
      <w:rFonts w:ascii="Times New Roman" w:hAnsi="Times New Roman" w:eastAsia="宋体"/>
      <w:b w:val="0"/>
      <w:color w:val="323232"/>
      <w:sz w:val="20"/>
    </w:rPr>
  </w:style>
  <w:style w:type="paragraph" w:customStyle="1" w:styleId="PackHeading1">
    <w:name w:val="Pack Heading 1"/>
    <w:basedOn w:val="Heading1"/>
    <w:rPr>
      <w:rFonts w:ascii="Times New Roman" w:hAnsi="Times New Roman" w:eastAsia="宋体"/>
      <w:b/>
      <w:color w:val="000000"/>
      <w:sz w:val="24"/>
    </w:rPr>
  </w:style>
  <w:style w:type="paragraph" w:customStyle="1" w:styleId="PackHeading2">
    <w:name w:val="Pack Heading 2"/>
    <w:basedOn w:val="Heading2"/>
    <w:rPr>
      <w:rFonts w:ascii="Times New Roman" w:hAnsi="Times New Roman" w:eastAsia="宋体"/>
      <w:b/>
      <w:color w:val="000000"/>
      <w:sz w:val="22"/>
    </w:rPr>
  </w:style>
  <w:style w:type="paragraph" w:customStyle="1" w:styleId="PackNote">
    <w:name w:val="Pack Note"/>
    <w:basedOn w:val="Normal"/>
    <w:rPr>
      <w:rFonts w:ascii="Times New Roman" w:hAnsi="Times New Roman" w:eastAsia="宋体"/>
      <w:b w:val="0"/>
      <w:color w:val="000000"/>
      <w:sz w:val="18"/>
    </w:rPr>
  </w:style>
  <w:style w:type="paragraph" w:customStyle="1" w:styleId="PackCaption">
    <w:name w:val="Pack Caption"/>
    <w:basedOn w:val="Normal"/>
    <w:rPr>
      <w:rFonts w:ascii="Times New Roman" w:hAnsi="Times New Roman" w:eastAsia="宋体"/>
      <w:b w:val="0"/>
      <w:color w:val="00000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