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ckTitle"/>
        <w:jc w:val="center"/>
      </w:pPr>
      <w:r>
        <w:t>s41467-025-60162-0</w:t>
      </w:r>
    </w:p>
    <w:p>
      <w:pPr>
        <w:pStyle w:val="PackSubtitle"/>
        <w:jc w:val="center"/>
      </w:pPr>
      <w:r>
        <w:t>期刊级文献多模态证据聚合交付稿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分析目标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Conclusion Extraction</w:t>
            </w:r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产出时间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2026-04-13 00:52</w:t>
            </w:r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来源文件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数据契约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v3.academic-synthesis</w:t>
            </w:r>
          </w:p>
        </w:tc>
      </w:tr>
    </w:tbl>
    <w:p>
      <w:pPr>
        <w:pStyle w:val="Heading1"/>
        <w:spacing w:before="240"/>
      </w:pPr>
      <w:r>
        <w:t>1. discussion</w:t>
      </w:r>
    </w:p>
    <w:p>
      <w:pPr>
        <w:spacing w:after="0"/>
      </w:pPr>
      <w:r>
        <w:t>本主题围绕“discussion”展开论述，整合了 5 个关键写作点。核心论点包括：Article https://doi.org/10.1038/s41467-025-60162-0 Compositional criteria to pr…；Ryan Brooke 1, Duyao Zhang 1,2 , Dong Qiu 1, Mark A.。</w:t>
      </w:r>
    </w:p>
    <w:p>
      <w:pPr>
        <w:pStyle w:val="Heading1"/>
        <w:spacing w:before="240"/>
      </w:pPr>
      <w:r>
        <w:t>2. result</w:t>
      </w:r>
    </w:p>
    <w:p>
      <w:pPr>
        <w:spacing w:after="0"/>
      </w:pPr>
      <w:r>
        <w:t>本主题围绕“result”展开论述，整合了 4 个关键写作点。核心论点包括：Efforts are focused on designing alloy compositions to achieve fully equiaxed m…；It was the ﬁrst parameter considered to have a relationship with grain size in…。</w:t>
      </w:r>
    </w:p>
    <w:p>
      <w:pPr>
        <w:pStyle w:val="Heading1"/>
        <w:spacing w:before="240"/>
      </w:pPr>
      <w:r>
        <w:t>3. mechanism</w:t>
      </w:r>
    </w:p>
    <w:p>
      <w:pPr>
        <w:spacing w:after="0"/>
      </w:pPr>
      <w:r>
        <w:t>本主题围绕“mechanism”展开论述，整合了 2 个关键写作点。核心论点包括：This is due to k being greater than 1 in the Ti-Mo system.；The Hunt CET model17 suggested that a higher Q facilitates equiaxed growth.。</w:t>
      </w:r>
    </w:p>
    <w:p>
      <w:pPr>
        <w:pStyle w:val="Heading1"/>
        <w:spacing w:before="240"/>
      </w:pPr>
      <w:r>
        <w:t>4. background</w:t>
      </w:r>
    </w:p>
    <w:p>
      <w:pPr>
        <w:spacing w:after="0"/>
      </w:pPr>
      <w:r>
        <w:t>本主题围绕“background”展开论述，整合了 1 个关键写作点。核心论点包括：It is well established that the ability of an alloy to undergo a CET and achiev…。</w:t>
      </w:r>
    </w:p>
    <w:p>
      <w:pPr>
        <w:pStyle w:val="Heading1"/>
      </w:pPr>
      <w:r>
        <w:t>Appendix: Original Evidence Trace</w:t>
      </w:r>
    </w:p>
    <w:p>
      <w:r>
        <w:br w:type="page"/>
      </w:r>
    </w:p>
    <w:p>
      <w:pPr>
        <w:pStyle w:val="PackHeading1"/>
      </w:pPr>
      <w:r>
        <w:t>核心写作点</w:t>
      </w:r>
    </w:p>
    <w:p>
      <w:bookmarkStart w:id="0" w:name="wp_wp001"/>
      <w:pPr>
        <w:pStyle w:val="PackHeading2"/>
      </w:pPr>
      <w:r>
        <w:t>写作点 01 | discussion</w:t>
      </w:r>
      <w:bookmarkEnd w:id="0"/>
    </w:p>
    <w:p>
      <w:r>
        <w:rPr>
          <w:b/>
        </w:rPr>
        <w:t>Article https://doi.org/10.1038/s41467-025-60162-0 Compositional criteria to predict columnar to equiaxed transitions in metal additive manufacturing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Article https://doi.org/10.1038/s41467-025-60162-0 Compositional criteria to predict columnar to equiaxed transitions in metal additive manufacturing</w:t>
      </w:r>
    </w:p>
    <w:p>
      <w:bookmarkStart w:id="1" w:name="wp_wp003"/>
      <w:pPr>
        <w:pStyle w:val="PackHeading2"/>
      </w:pPr>
      <w:r>
        <w:t>写作点 02 | discussion</w:t>
      </w:r>
      <w:bookmarkEnd w:id="1"/>
    </w:p>
    <w:p>
      <w:r>
        <w:rPr>
          <w:b/>
        </w:rPr>
        <w:t>Ryan Brooke 1, Duyao Zhang 1,2 , Dong Qiu 1, Mark 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Ryan Brooke 1, Duyao Zhang 1,2 , Dong Qiu 1, Mark A. Gibson1 &amp; Mark Easton 1</w:t>
      </w:r>
    </w:p>
    <w:p>
      <w:bookmarkStart w:id="2" w:name="wp_wp008"/>
      <w:pPr>
        <w:pStyle w:val="PackHeading2"/>
      </w:pPr>
      <w:r>
        <w:t>写作点 03 | result</w:t>
      </w:r>
      <w:bookmarkEnd w:id="2"/>
    </w:p>
    <w:p>
      <w:r>
        <w:rPr>
          <w:b/>
        </w:rPr>
        <w:t>Efforts are focused on designing alloy compositions to achieve fully equiaxed microstructures, thereby eliminating the mechanical anisotropy commonly associated with the large columnar grains in additively manufactured alloys.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Predicting the columnar to equiaxed transition (CET) and grain reﬁnement for additively manufactured alloys from thermodynamic databases has been a long-standing challenge and an ongoing source of discussion. Efforts are focused on designing alloy composition…</w:t>
      </w:r>
    </w:p>
    <w:p>
      <w:bookmarkStart w:id="3" w:name="wp_wp009"/>
      <w:pPr>
        <w:pStyle w:val="PackHeading2"/>
      </w:pPr>
      <w:r>
        <w:t>写作点 04 | result</w:t>
      </w:r>
      <w:bookmarkEnd w:id="3"/>
    </w:p>
    <w:p>
      <w:r>
        <w:rPr>
          <w:b/>
        </w:rPr>
        <w:t>It was the ﬁrst parameter considered to have a relationship with grain size in cast alloys9,10.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examined in the context of metal AM processes as follows: the constitutional supercooling (CS) parameter (P), the growth restriction factor (Q), and the non-equilibrium (Scheil) freezing range (ΔTs). P is the constitutional supercooling available during stead…</w:t>
      </w:r>
    </w:p>
    <w:p>
      <w:bookmarkStart w:id="4" w:name="wp_wp011"/>
      <w:pPr>
        <w:pStyle w:val="PackHeading2"/>
      </w:pPr>
      <w:r>
        <w:t>写作点 05 | background</w:t>
      </w:r>
      <w:bookmarkEnd w:id="4"/>
    </w:p>
    <w:p>
      <w:r>
        <w:rPr>
          <w:b/>
        </w:rPr>
        <w:t>It is well established that the ability of an alloy to undergo a CET and achieve a reﬁned, equiaxed grain morphology is inﬂuenced by the alloying composition during solidiﬁcation processes such as casting1–3.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It is well established that the ability of an alloy to undergo a CET and achieve a reﬁned, equiaxed grain morphology is inﬂuenced by the alloying composition during solidiﬁcation processes such as casting1–3. However, at the high cooling rate and large therma…</w:t>
      </w:r>
    </w:p>
    <w:p>
      <w:bookmarkStart w:id="5" w:name="wp_wp012"/>
      <w:pPr>
        <w:pStyle w:val="PackHeading2"/>
      </w:pPr>
      <w:r>
        <w:t>写作点 06 | discussion</w:t>
      </w:r>
      <w:bookmarkEnd w:id="5"/>
    </w:p>
    <w:p>
      <w:r>
        <w:rPr>
          <w:b/>
        </w:rPr>
        <w:t>1School of Engineering, Centre for Additive Manufacturing, RMIT University, Melbourne, VIC, Australia.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1School of Engineering, Centre for Additive Manufacturing, RMIT University, Melbourne, VIC, Australia. 2Department of Mechanical Engineering, Faculty of Engineering &amp; Design, University of Bath, Bath, UK. e-mail: dz618@bath.ac.uk; mark.easton@rmit.edu.au</w:t>
      </w:r>
    </w:p>
    <w:p>
      <w:bookmarkStart w:id="6" w:name="wp_wp014"/>
      <w:pPr>
        <w:pStyle w:val="PackHeading2"/>
      </w:pPr>
      <w:r>
        <w:t>写作点 07 | discussion</w:t>
      </w:r>
      <w:bookmarkEnd w:id="6"/>
    </w:p>
    <w:p>
      <w:r>
        <w:rPr>
          <w:b/>
        </w:rPr>
        <w:t>Article https://doi.org/10.1038/s41467-025-60162-0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Article https://doi.org/10.1038/s41467-025-60162-0</w:t>
      </w:r>
    </w:p>
    <w:p>
      <w:bookmarkStart w:id="7" w:name="wp_wp015"/>
      <w:pPr>
        <w:pStyle w:val="PackHeading2"/>
      </w:pPr>
      <w:r>
        <w:t>写作点 08 | discussion</w:t>
      </w:r>
      <w:bookmarkEnd w:id="7"/>
    </w:p>
    <w:p>
      <w:r>
        <w:rPr>
          <w:b/>
        </w:rPr>
        <w:t>software with the PanTitaniumTM v2022 database.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software with the PanTitaniumTM v2022 database. The representation of the ΔTs (grey range), Q (blue range), and P (green range) values for Ti-6Cu from the phase diagram.</w:t>
      </w:r>
    </w:p>
    <w:p>
      <w:bookmarkStart w:id="8" w:name="wp_wp016"/>
      <w:pPr>
        <w:pStyle w:val="PackHeading2"/>
      </w:pPr>
      <w:r>
        <w:t>写作点 09 | mechanism</w:t>
      </w:r>
      <w:bookmarkEnd w:id="8"/>
    </w:p>
    <w:p>
      <w:r>
        <w:rPr>
          <w:b/>
        </w:rPr>
        <w:t>This is due to k being greater than 1 in the Ti-Mo system.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Ti alloy has an equiaxed grain morphology. ΔTs is the freezing range calculated from CALPHAD software. It was suggested that a Ti alloy with a ΔTs considerably higher than 110 K and perhaps closer to 603 K would achieve a CET7. Although Nartu et al.7 did not…</w:t>
      </w:r>
    </w:p>
    <w:p>
      <w:bookmarkStart w:id="9" w:name="wp_wp017"/>
      <w:pPr>
        <w:pStyle w:val="PackHeading2"/>
      </w:pPr>
      <w:r>
        <w:t>写作点 10 | result</w:t>
      </w:r>
      <w:bookmarkEnd w:id="9"/>
    </w:p>
    <w:p>
      <w:r>
        <w:rPr>
          <w:b/>
        </w:rPr>
        <w:t>There are many examples that correlate the grain size with the 1/Q value in cast Mg2,13, Al1,14, and Ti alloys15,16.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where m is the liquidus slope, co the alloy content, and k is the partition coefﬁcient, i.e., the ratio cs/cl where cs is the composition of the solute in the solid and cl is the composition in the liquid. The growth restriction factor, Q, was identiﬁed initi…</w:t>
      </w:r>
    </w:p>
    <w:p>
      <w:bookmarkStart w:id="10" w:name="wp_wp019"/>
      <w:pPr>
        <w:pStyle w:val="PackHeading2"/>
      </w:pPr>
      <w:r>
        <w:t>写作点 11 | mechanism</w:t>
      </w:r>
      <w:bookmarkEnd w:id="10"/>
    </w:p>
    <w:p>
      <w:r>
        <w:rPr>
          <w:b/>
        </w:rPr>
        <w:t>The Hunt CET model17 suggested that a higher Q facilitates equiaxed growth.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The Hunt CET model17 suggested that a higher Q facilitates equiaxed growth. Later, Kurz et al.18 produced a simpliﬁcation of a numerical CET model that considered the equilibrium freezing range, P, instead. The Hunt analytical model17 was developed to describ…</w:t>
      </w:r>
    </w:p>
    <w:p>
      <w:bookmarkStart w:id="11" w:name="wp_wp022"/>
      <w:pPr>
        <w:pStyle w:val="PackHeading2"/>
      </w:pPr>
      <w:r>
        <w:t>写作点 12 | result</w:t>
      </w:r>
      <w:bookmarkEnd w:id="11"/>
    </w:p>
    <w:p>
      <w:r>
        <w:rPr>
          <w:b/>
        </w:rPr>
        <w:t>where ΔTc is the constitutional supercooling, and fs is the solid fraction.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where ΔTc is the constitutional supercooling, and fs is the solid fraction. Q has been successfully used as an alloy design parameter for AM alloys23,24. P can also be estimated in multicomponent systems using CALPHAD. Recently, Nartu et al.7 proposed another…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  <w:jc w:val="both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ckTitle">
    <w:name w:val="Pack Title"/>
    <w:basedOn w:val="Title"/>
    <w:rPr>
      <w:rFonts w:ascii="Times New Roman" w:hAnsi="Times New Roman" w:eastAsia="宋体"/>
      <w:b/>
      <w:color w:val="000000"/>
      <w:sz w:val="36"/>
    </w:rPr>
  </w:style>
  <w:style w:type="paragraph" w:customStyle="1" w:styleId="PackSubtitle">
    <w:name w:val="Pack Subtitle"/>
    <w:basedOn w:val="Subtitle"/>
    <w:rPr>
      <w:rFonts w:ascii="Times New Roman" w:hAnsi="Times New Roman" w:eastAsia="宋体"/>
      <w:b w:val="0"/>
      <w:color w:val="323232"/>
      <w:sz w:val="20"/>
    </w:rPr>
  </w:style>
  <w:style w:type="paragraph" w:customStyle="1" w:styleId="PackHeading1">
    <w:name w:val="Pack Heading 1"/>
    <w:basedOn w:val="Heading1"/>
    <w:rPr>
      <w:rFonts w:ascii="Times New Roman" w:hAnsi="Times New Roman" w:eastAsia="宋体"/>
      <w:b/>
      <w:color w:val="000000"/>
      <w:sz w:val="24"/>
    </w:rPr>
  </w:style>
  <w:style w:type="paragraph" w:customStyle="1" w:styleId="PackHeading2">
    <w:name w:val="Pack Heading 2"/>
    <w:basedOn w:val="Heading2"/>
    <w:rPr>
      <w:rFonts w:ascii="Times New Roman" w:hAnsi="Times New Roman" w:eastAsia="宋体"/>
      <w:b/>
      <w:color w:val="000000"/>
      <w:sz w:val="22"/>
    </w:rPr>
  </w:style>
  <w:style w:type="paragraph" w:customStyle="1" w:styleId="PackNote">
    <w:name w:val="Pack Note"/>
    <w:basedOn w:val="Normal"/>
    <w:rPr>
      <w:rFonts w:ascii="Times New Roman" w:hAnsi="Times New Roman" w:eastAsia="宋体"/>
      <w:b w:val="0"/>
      <w:color w:val="000000"/>
      <w:sz w:val="18"/>
    </w:rPr>
  </w:style>
  <w:style w:type="paragraph" w:customStyle="1" w:styleId="PackCaption">
    <w:name w:val="Pack Caption"/>
    <w:basedOn w:val="Normal"/>
    <w:rPr>
      <w:rFonts w:ascii="Times New Roman" w:hAnsi="Times New Roman" w:eastAsia="宋体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