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表1 优化设置（超参数）——训练基础设施</w:t>
      </w:r>
    </w:p>
    <w:p>
      <w:r>
        <w:rPr>
          <w:b/>
          <w:color w:val="2E74B5"/>
          <w:sz w:val="26"/>
        </w:rPr>
        <w:t>这些是"控制怎么调模型参数"的开关键，不是模型那4000万参数。绝大多数为预训练微调的行业标准/继承默认。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超参数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值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大白话含义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依据（来源）</w:t>
            </w:r>
          </w:p>
        </w:tc>
      </w:tr>
      <w:tr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优化器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AdamW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拧旋钮的手法：给每个旋钮"自动配速"——老朝一个方向走的就大步，来回变的就小步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行业标准</w:t>
            </w:r>
          </w:p>
        </w:tc>
      </w:tr>
      <w:tr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学习率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6e-5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每步拧多大力气。预训练模型只须微调，力气小以免冲掉已学好的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预训练微调常用值</w:t>
            </w:r>
          </w:p>
        </w:tc>
      </w:tr>
      <w:tr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权重衰减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0.01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拧完把旋钮往0轻拽，防个别旋钮为死记训练集拧过大（过拟合）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标准默认</w:t>
            </w:r>
          </w:p>
        </w:tc>
      </w:tr>
      <w:tr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batch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2×累积2=4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一次基于几张图定拧向。4张平均更稳；显存限制拆成2+2喂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显存设计</w:t>
            </w:r>
          </w:p>
        </w:tc>
      </w:tr>
      <w:tr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调度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polynomial 1.0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力气随时间递减：初期大后期小，最后恰好归零（精细收敛）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线性衰减</w:t>
            </w:r>
          </w:p>
        </w:tc>
      </w:tr>
      <w:tr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总步数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56000 = 40轮×1400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共拧多少次 = 完整过训练集40遍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验证够收敛</w:t>
            </w:r>
          </w:p>
        </w:tc>
      </w:tr>
      <w:tr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损失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逐像素交叉熵 CE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裁判标准：每像素分错扣分求和，模型按"让这数最小"去拧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标准分割损失</w:t>
            </w:r>
          </w:p>
        </w:tc>
      </w:tr>
      <w:tr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amp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True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混合精度（半+单精度混用）省显存提速</w:t>
            </w:r>
          </w:p>
        </w:tc>
        <w:tc>
          <w:tcPr>
            <w:tcW w:type="dxa" w:w="3535"/>
          </w:tcPr>
          <w:p>
            <w:pPr>
              <w:spacing w:before="40" w:after="40"/>
            </w:pPr>
            <w:r/>
            <w:r>
              <w:rPr>
                <w:sz w:val="20"/>
              </w:rPr>
              <w:t>现代框架标配</w:t>
            </w:r>
          </w:p>
        </w:tc>
      </w:tr>
    </w:tbl>
    <w:p>
      <w:r>
        <w:rPr>
          <w:color w:val="808080"/>
          <w:sz w:val="18"/>
        </w:rPr>
        <w:t>诚实说明：此表几乎全部继承默认/行业标准，我们未逐一扫描。真正扫过的是方法层超参（见下方红字区分）。</w:t>
      </w:r>
    </w:p>
    <w:p>
      <w:r>
        <w:rPr>
          <w:b/>
          <w:color w:val="2E74B5"/>
          <w:sz w:val="26"/>
        </w:rPr>
        <w:t>表2 方法层超参（这些才是我们"真正调过"的——区别清楚，汇报加分）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方法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参数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值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怎么调的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线上结果</w:t>
            </w:r>
          </w:p>
        </w:tc>
      </w:tr>
      <w:tr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CWFA 特征扰动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ε（扰动强度）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ε=4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扫过：ε=4 vs ε=6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ε=4 +0.632 最优；ε=6 −0.553 过猛</w:t>
            </w:r>
          </w:p>
        </w:tc>
      </w:tr>
      <w:tr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CWFA 触发概率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probability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0.3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继承试点，未单独扫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CWFA 启动步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start_step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28001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设计决策(前20轮打基础后精修)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校准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8 个类别 bias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背景−0.2/荒地3.6/农田3.32/水体0.7/植被0.4/车辆−0.5/道路0.07/建筑−0.038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逐维扫描到精确顶点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合计 +1.9（最大分来源）</w:t>
            </w:r>
          </w:p>
        </w:tc>
      </w:tr>
      <w:tr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MixStyle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α（扰动）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0.05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扫过：α越小越好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α=0.05 +0.492</w:t>
            </w:r>
          </w:p>
        </w:tc>
      </w:tr>
      <w:tr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蒸馏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λ（权重）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0.1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扫过：λ越小越好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λ=0.1 +0.25</w:t>
            </w:r>
          </w:p>
        </w:tc>
      </w:tr>
      <w:tr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边界分支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radius/weight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5 / 0.2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常规配置</w:t>
            </w:r>
          </w:p>
        </w:tc>
        <w:tc>
          <w:tcPr>
            <w:tcW w:type="dxa" w:w="2828"/>
          </w:tcPr>
          <w:p>
            <w:pPr>
              <w:spacing w:before="40" w:after="40"/>
            </w:pPr>
            <w:r/>
            <w:r>
              <w:rPr>
                <w:sz w:val="20"/>
              </w:rPr>
              <w:t>单独 +0.313</w:t>
            </w:r>
          </w:p>
        </w:tc>
      </w:tr>
    </w:tbl>
    <w:p>
      <w:r>
        <w:rPr>
          <w:color w:val="808080"/>
          <w:sz w:val="18"/>
        </w:rPr>
        <w:t>汇报口径：训练基础设施(表1)走行业标准；我们验证/调优集中在方法层(表2)——这是预训练微调的正确做法，方法层才是拉开差距的地方。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其余关键表格（横向版）</w:t>
      </w:r>
    </w:p>
    <w:p>
      <w:r>
        <w:rPr>
          <w:b/>
          <w:color w:val="2E74B5"/>
          <w:sz w:val="26"/>
        </w:rPr>
        <w:t>表3 八维类别校准向量（最优方案核心，测试时先验）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类别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bias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含义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背景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−0.20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压低（测试集背景比训练多4.75%）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建筑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−0.0384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微负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道路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+0.0709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精确顶点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水体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+0.70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抬升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荒地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+3.60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大幅抬（模型最易吞掉的灰色类）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植被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+0.40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测试集植被少4.71%，稍调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农田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+3.3215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大幅抬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车辆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−0.50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压低</w:t>
            </w:r>
          </w:p>
        </w:tc>
      </w:tr>
    </w:tbl>
    <w:p>
      <w:r>
        <w:br w:type="page"/>
      </w:r>
    </w:p>
    <w:p>
      <w:r>
        <w:rPr>
          <w:b/>
          <w:color w:val="2E74B5"/>
          <w:sz w:val="26"/>
        </w:rPr>
        <w:t>表4 训练数据划分与增广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项目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值/内容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来源/含义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总数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6996 张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官方训练集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验证比例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20%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val_fraction=0.20，工程惯例默认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验证集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1399 张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选 best_miou（隐式早停）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训练集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5597 张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训练反复读取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水平/垂直翻转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50% 概率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在线增广：每读一次掷硬币决定，经验默认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旋转90/180/270°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50% 概率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让模型对旋转鲁棒（TTA前提）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RareCrop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50% 概率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优先裁车辆/荒地/农田区域</w:t>
            </w:r>
          </w:p>
        </w:tc>
      </w:tr>
    </w:tbl>
    <w:p>
      <w:r>
        <w:br w:type="page"/>
      </w:r>
    </w:p>
    <w:p>
      <w:r>
        <w:rPr>
          <w:b/>
          <w:color w:val="2E74B5"/>
          <w:sz w:val="26"/>
        </w:rPr>
        <w:t>表5 分数来源（69.2813 怎么来的）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组成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线上 mIoU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贡献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B3 基线（纯CE）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66.7395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起点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+ CWFA 训练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67.3714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+0.632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+ 旋转 TTA8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67.2097(纯CE系) / 训练本体增益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测试时增广</w:t>
            </w:r>
          </w:p>
        </w:tc>
      </w:tr>
      <w:tr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+ 八维校准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69.2813</w:t>
            </w:r>
          </w:p>
        </w:tc>
        <w:tc>
          <w:tcPr>
            <w:tcW w:type="dxa" w:w="4713"/>
          </w:tcPr>
          <w:p>
            <w:pPr>
              <w:spacing w:before="40" w:after="40"/>
            </w:pPr>
            <w:r/>
            <w:r>
              <w:rPr>
                <w:sz w:val="20"/>
              </w:rPr>
              <w:t>+1.9（最大分来源，测试时先验）</w:t>
            </w:r>
          </w:p>
        </w:tc>
      </w:tr>
    </w:tbl>
    <w:sectPr w:rsidR="00FC693F" w:rsidRPr="0006063C" w:rsidSect="00034616">
      <w:pgSz w:w="15840" w:h="12240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