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 — PRD v1.0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产品需求文档 · v1.0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16Personalities 风格 · 五维度 · 本地数据 · 零门槛分享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MBTI 性格测评程序 — PRD v1.0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文档信息</w:t>
        </w:r>
      </w:hyperlink>
    </w:p>
    <w:p>
      <w:pPr>
        <w:pStyle w:val="TOC3"/>
      </w:pPr>
      <w:hyperlink w:anchor="toc_auto_2" w:history="1">
        <w:r>
          <w:rPr>
            <w:rStyle w:val="Hyperlink"/>
          </w:rPr>
          <w:t>修订历史</w:t>
        </w:r>
      </w:hyperlink>
    </w:p>
    <w:p>
      <w:pPr>
        <w:pStyle w:val="TOC2"/>
      </w:pPr>
      <w:hyperlink w:anchor="toc_auto_3" w:history="1">
        <w:r>
          <w:rPr>
            <w:rStyle w:val="Hyperlink"/>
          </w:rPr>
          <w:t>1. 产品概述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1.1 背景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1.2 问题陈述</w:t>
        </w:r>
      </w:hyperlink>
    </w:p>
    <w:p>
      <w:pPr>
        <w:pStyle w:val="TOC3"/>
      </w:pPr>
      <w:hyperlink w:anchor="toc_auto_6" w:history="1">
        <w:r>
          <w:rPr>
            <w:rStyle w:val="Hyperlink"/>
          </w:rPr>
          <w:t>1.3 产品愿景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1.4 产品定位</w:t>
        </w:r>
      </w:hyperlink>
    </w:p>
    <w:p>
      <w:pPr>
        <w:pStyle w:val="TOC2"/>
      </w:pPr>
      <w:hyperlink w:anchor="toc_auto_8" w:history="1">
        <w:r>
          <w:rPr>
            <w:rStyle w:val="Hyperlink"/>
          </w:rPr>
          <w:t>2. 目标用户与使用场景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2.1 目标用户</w:t>
        </w:r>
      </w:hyperlink>
    </w:p>
    <w:p>
      <w:pPr>
        <w:pStyle w:val="TOC3"/>
      </w:pPr>
      <w:hyperlink w:anchor="toc_auto_10" w:history="1">
        <w:r>
          <w:rPr>
            <w:rStyle w:val="Hyperlink"/>
          </w:rPr>
          <w:t>2.2 用户故事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3. 产品范围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3.1 本期范围（In Scope）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3.2 明确不做（Out of Scope）</w:t>
        </w:r>
      </w:hyperlink>
    </w:p>
    <w:p>
      <w:pPr>
        <w:pStyle w:val="TOC2"/>
      </w:pPr>
      <w:hyperlink w:anchor="toc_auto_14" w:history="1">
        <w:r>
          <w:rPr>
            <w:rStyle w:val="Hyperlink"/>
          </w:rPr>
          <w:t>4. 功能需求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FR-01 题库与计分（P0）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FR-02 答题流程（P0）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FR-03 回退修改（P0）</w:t>
        </w:r>
      </w:hyperlink>
    </w:p>
    <w:p>
      <w:pPr>
        <w:pStyle w:val="TOC3"/>
      </w:pPr>
      <w:hyperlink w:anchor="toc_auto_18" w:history="1">
        <w:r>
          <w:rPr>
            <w:rStyle w:val="Hyperlink"/>
          </w:rPr>
          <w:t>FR-04 进度持久化与续答（P0）</w:t>
        </w:r>
      </w:hyperlink>
    </w:p>
    <w:p>
      <w:pPr>
        <w:pStyle w:val="TOC3"/>
      </w:pPr>
      <w:hyperlink w:anchor="toc_auto_19" w:history="1">
        <w:r>
          <w:rPr>
            <w:rStyle w:val="Hyperlink"/>
          </w:rPr>
          <w:t>FR-05 放弃测试（P1）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FR-06 结果报告（P0）</w:t>
        </w:r>
      </w:hyperlink>
    </w:p>
    <w:p>
      <w:pPr>
        <w:pStyle w:val="TOC3"/>
      </w:pPr>
      <w:hyperlink w:anchor="toc_auto_21" w:history="1">
        <w:r>
          <w:rPr>
            <w:rStyle w:val="Hyperlink"/>
          </w:rPr>
          <w:t>FR-07 历史记录（P0）</w:t>
        </w:r>
      </w:hyperlink>
    </w:p>
    <w:p>
      <w:pPr>
        <w:pStyle w:val="TOC3"/>
      </w:pPr>
      <w:hyperlink w:anchor="toc_auto_22" w:history="1">
        <w:r>
          <w:rPr>
            <w:rStyle w:val="Hyperlink"/>
          </w:rPr>
          <w:t>FR-08 测试轨迹对比（P1）</w:t>
        </w:r>
      </w:hyperlink>
    </w:p>
    <w:p>
      <w:pPr>
        <w:pStyle w:val="TOC3"/>
      </w:pPr>
      <w:hyperlink w:anchor="toc_auto_23" w:history="1">
        <w:r>
          <w:rPr>
            <w:rStyle w:val="Hyperlink"/>
          </w:rPr>
          <w:t>FR-09 历史详情回看（P1）</w:t>
        </w:r>
      </w:hyperlink>
    </w:p>
    <w:p>
      <w:pPr>
        <w:pStyle w:val="TOC3"/>
      </w:pPr>
      <w:hyperlink w:anchor="toc_auto_24" w:history="1">
        <w:r>
          <w:rPr>
            <w:rStyle w:val="Hyperlink"/>
          </w:rPr>
          <w:t>FR-10 清空历史（P1）</w:t>
        </w:r>
      </w:hyperlink>
    </w:p>
    <w:p>
      <w:pPr>
        <w:pStyle w:val="TOC3"/>
      </w:pPr>
      <w:hyperlink w:anchor="toc_auto_25" w:history="1">
        <w:r>
          <w:rPr>
            <w:rStyle w:val="Hyperlink"/>
          </w:rPr>
          <w:t>FR-11 娱乐参考声明（P0）</w:t>
        </w:r>
      </w:hyperlink>
    </w:p>
    <w:p>
      <w:pPr>
        <w:pStyle w:val="TOC2"/>
      </w:pPr>
      <w:hyperlink w:anchor="toc_auto_26" w:history="1">
        <w:r>
          <w:rPr>
            <w:rStyle w:val="Hyperlink"/>
          </w:rPr>
          <w:t>5. 界面与交互设计</w:t>
        </w:r>
      </w:hyperlink>
    </w:p>
    <w:p>
      <w:pPr>
        <w:pStyle w:val="TOC3"/>
      </w:pPr>
      <w:hyperlink w:anchor="toc_auto_27" w:history="1">
        <w:r>
          <w:rPr>
            <w:rStyle w:val="Hyperlink"/>
          </w:rPr>
          <w:t>5.1 页面结构</w:t>
        </w:r>
      </w:hyperlink>
    </w:p>
    <w:p>
      <w:pPr>
        <w:pStyle w:val="TOC3"/>
      </w:pPr>
      <w:hyperlink w:anchor="toc_auto_28" w:history="1">
        <w:r>
          <w:rPr>
            <w:rStyle w:val="Hyperlink"/>
          </w:rPr>
          <w:t>5.2 视觉风格</w:t>
        </w:r>
      </w:hyperlink>
    </w:p>
    <w:p>
      <w:pPr>
        <w:pStyle w:val="TOC3"/>
      </w:pPr>
      <w:hyperlink w:anchor="toc_auto_29" w:history="1">
        <w:r>
          <w:rPr>
            <w:rStyle w:val="Hyperlink"/>
          </w:rPr>
          <w:t>5.3 响应式</w:t>
        </w:r>
      </w:hyperlink>
    </w:p>
    <w:p>
      <w:pPr>
        <w:pStyle w:val="TOC2"/>
      </w:pPr>
      <w:hyperlink w:anchor="toc_auto_30" w:history="1">
        <w:r>
          <w:rPr>
            <w:rStyle w:val="Hyperlink"/>
          </w:rPr>
          <w:t>6. 非功能需求</w:t>
        </w:r>
      </w:hyperlink>
    </w:p>
    <w:p>
      <w:pPr>
        <w:pStyle w:val="TOC2"/>
      </w:pPr>
      <w:hyperlink w:anchor="toc_auto_31" w:history="1">
        <w:r>
          <w:rPr>
            <w:rStyle w:val="Hyperlink"/>
          </w:rPr>
          <w:t>7. 数据设计</w:t>
        </w:r>
      </w:hyperlink>
    </w:p>
    <w:p>
      <w:pPr>
        <w:pStyle w:val="TOC3"/>
      </w:pPr>
      <w:hyperlink w:anchor="toc_auto_32" w:history="1">
        <w:r>
          <w:rPr>
            <w:rStyle w:val="Hyperlink"/>
          </w:rPr>
          <w:t>7.1 存储键</w:t>
        </w:r>
      </w:hyperlink>
    </w:p>
    <w:p>
      <w:pPr>
        <w:pStyle w:val="TOC3"/>
      </w:pPr>
      <w:hyperlink w:anchor="toc_auto_33" w:history="1">
        <w:r>
          <w:rPr>
            <w:rStyle w:val="Hyperlink"/>
          </w:rPr>
          <w:t>7.2 数据结构</w:t>
        </w:r>
      </w:hyperlink>
    </w:p>
    <w:p>
      <w:pPr>
        <w:pStyle w:val="TOC3"/>
      </w:pPr>
      <w:hyperlink w:anchor="toc_auto_34" w:history="1">
        <w:r>
          <w:rPr>
            <w:rStyle w:val="Hyperlink"/>
          </w:rPr>
          <w:t>7.3 计分公式</w:t>
        </w:r>
      </w:hyperlink>
    </w:p>
    <w:p>
      <w:pPr>
        <w:pStyle w:val="TOC2"/>
      </w:pPr>
      <w:hyperlink w:anchor="toc_auto_35" w:history="1">
        <w:r>
          <w:rPr>
            <w:rStyle w:val="Hyperlink"/>
          </w:rPr>
          <w:t>8. 交付与里程碑</w:t>
        </w:r>
      </w:hyperlink>
    </w:p>
    <w:p>
      <w:pPr>
        <w:pStyle w:val="TOC2"/>
      </w:pPr>
      <w:hyperlink w:anchor="toc_auto_36" w:history="1">
        <w:r>
          <w:rPr>
            <w:rStyle w:val="Hyperlink"/>
          </w:rPr>
          <w:t>9. 成功指标</w:t>
        </w:r>
      </w:hyperlink>
    </w:p>
    <w:p>
      <w:pPr>
        <w:pStyle w:val="TOC2"/>
      </w:pPr>
      <w:hyperlink w:anchor="toc_auto_37" w:history="1">
        <w:r>
          <w:rPr>
            <w:rStyle w:val="Hyperlink"/>
          </w:rPr>
          <w:t>10. 风险与后续迭代</w:t>
        </w:r>
      </w:hyperlink>
    </w:p>
    <w:p>
      <w:pPr>
        <w:pStyle w:val="TOC3"/>
      </w:pPr>
      <w:hyperlink w:anchor="toc_auto_38" w:history="1">
        <w:r>
          <w:rPr>
            <w:rStyle w:val="Hyperlink"/>
          </w:rPr>
          <w:t>10.1 风险与应对</w:t>
        </w:r>
      </w:hyperlink>
    </w:p>
    <w:p>
      <w:pPr>
        <w:pStyle w:val="TOC3"/>
      </w:pPr>
      <w:hyperlink w:anchor="toc_auto_39" w:history="1">
        <w:r>
          <w:rPr>
            <w:rStyle w:val="Hyperlink"/>
          </w:rPr>
          <w:t>10.2 后续迭代候选（Backlog）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文档信息</w:t>
      </w:r>
      <w:bookmarkEnd w:id="1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性格测评程序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已定稿（产品已交付并验收通过）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编写日期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 年 9 月 15 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文档性质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产品需求文档（PRD）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关联文档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性格测评程序 — SPEC v1.0</w:t>
            </w:r>
          </w:p>
        </w:tc>
      </w:tr>
    </w:tbl>
    <w:p>
      <w:pPr>
        <w:pStyle w:val="Heading3"/>
        <w:spacing w:after="120" w:before="120"/>
        <w:outlineLvl w:val="2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修订历史</w:t>
      </w:r>
      <w:bookmarkEnd w:id="2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修订内容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基于 SPEC v1.0 整理为正式 PRD，补充功能需求编号、验收标准、非功能需求与数据设计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定稿</w:t>
            </w:r>
          </w:p>
        </w:tc>
      </w:tr>
    </w:tbl>
    <w:p>
      <w:pPr>
        <w:pStyle w:val="Heading2"/>
        <w:spacing w:after="180" w:before="180"/>
        <w:outlineLvl w:val="1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产品概述</w:t>
      </w:r>
      <w:bookmarkEnd w:id="3"/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背景</w:t>
      </w:r>
      <w:bookmarkEnd w:id="4"/>
    </w:p>
    <w:p>
      <w:pPr>
        <w:ind w:firstLine="480"/>
      </w:pPr>
      <w:r>
        <w:t xml:space="preserve">想做 MBTI 性格测评进行自我了解时，现有选择各有不便：16Personalities 官网需要联网访问、部分深度内容有付费墙、历史记录绑定在其账号体系里；多数国产测评工具充斥广告或要求注册登录。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问题陈述</w:t>
      </w:r>
      <w:bookmarkEnd w:id="5"/>
    </w:p>
    <w:p>
      <w:pPr>
        <w:ind w:firstLine="480"/>
      </w:pPr>
      <w:r>
        <w:t xml:space="preserve">用户需要一个</w:t>
      </w:r>
      <w:r>
        <w:rPr>
          <w:b/>
          <w:bCs/>
        </w:rPr>
        <w:t xml:space="preserve">随手可打开、无广告无注册、中文体验好、结果能本地留存对比</w:t>
      </w:r>
      <w:r>
        <w:t xml:space="preserve">的娱乐型 MBTI 测评工具。</w:t>
      </w:r>
    </w:p>
    <w:p>
      <w:pPr>
        <w:pStyle w:val="Heading3"/>
        <w:spacing w:after="120" w:before="120"/>
        <w:outlineLvl w:val="2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产品愿景</w:t>
      </w:r>
      <w:bookmarkEnd w:id="6"/>
    </w:p>
    <w:p>
      <w:pPr>
        <w:ind w:firstLine="480"/>
      </w:pPr>
      <w:r>
        <w:t xml:space="preserve">做一款"打开即玩、用完即存、发朋友就能玩"的中文 MBTI 测评：完整还原 16Personalities 风格的答题与报告体验，同时把数据主权完全交给用户本人——全部结果只留在本地浏览器，不注册、不上传、不追踪。</w:t>
      </w:r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1.4 产品定位</w:t>
      </w:r>
      <w:bookmarkEnd w:id="7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定位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单文件网页工具（娱乐向测评）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核心价值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完整测评体验 + 本地数据留存 + 零门槛分享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个人自我了解、朋友间娱乐互动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交付形态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单个 HTML 文件，双击即运行</w:t>
            </w:r>
          </w:p>
        </w:tc>
      </w:tr>
    </w:tbl>
    <w:p>
      <w:pPr>
        <w:pStyle w:val="Heading2"/>
        <w:spacing w:after="180" w:before="180"/>
        <w:outlineLvl w:val="1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目标用户与使用场景</w:t>
      </w:r>
      <w:bookmarkEnd w:id="8"/>
    </w:p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目标用户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用户本人</w:t>
      </w:r>
      <w:r>
        <w:t xml:space="preserve">：用于自我了解与娱乐，会多次测试并对比变化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用户的朋友</w:t>
      </w:r>
      <w:r>
        <w:t xml:space="preserve">：无技术背景的普通人，拿到文件双击打开即可完成测试</w:t>
      </w:r>
    </w:p>
    <w:p>
      <w:pPr>
        <w:pStyle w:val="ListParagraph"/>
        <w:numPr>
          <w:ilvl w:val="0"/>
          <w:numId w:val="2"/>
        </w:numPr>
      </w:pPr>
      <w:r>
        <w:t xml:space="preserve">共同特征：对 MBTI 文化感兴趣的娱乐向用户，</w:t>
      </w:r>
      <w:r>
        <w:rPr>
          <w:b/>
          <w:bCs/>
        </w:rPr>
        <w:t xml:space="preserve">非</w:t>
      </w:r>
      <w:r>
        <w:t xml:space="preserve">心理学专业人士，不用于严肃决策</w:t>
      </w:r>
    </w:p>
    <w:p>
      <w:pPr>
        <w:pStyle w:val="Heading3"/>
        <w:spacing w:after="120" w:before="120"/>
        <w:outlineLvl w:val="2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用户故事</w:t>
      </w:r>
      <w:bookmarkEnd w:id="10"/>
    </w:p>
    <w:p>
      <w:pPr>
        <w:pStyle w:val="ListParagraph"/>
        <w:numPr>
          <w:ilvl w:val="0"/>
          <w:numId w:val="3"/>
        </w:numPr>
      </w:pPr>
      <w:r>
        <w:t xml:space="preserve">作为用户，我想在 15 分钟内完成一次完整的 MBTI 测评，以便了解自己的性格类型与倾向强度。</w:t>
      </w:r>
    </w:p>
    <w:p>
      <w:pPr>
        <w:pStyle w:val="ListParagraph"/>
        <w:numPr>
          <w:ilvl w:val="0"/>
          <w:numId w:val="3"/>
        </w:numPr>
      </w:pPr>
      <w:r>
        <w:t xml:space="preserve">作为用户，我想中途退出后能从上次中断处继续，以免重复作答。</w:t>
      </w:r>
    </w:p>
    <w:p>
      <w:pPr>
        <w:pStyle w:val="ListParagraph"/>
        <w:numPr>
          <w:ilvl w:val="0"/>
          <w:numId w:val="3"/>
        </w:numPr>
      </w:pPr>
      <w:r>
        <w:t xml:space="preserve">作为用户，我想回看历史测试结果并对比多次变化，以便观察自我认知的演变。</w:t>
      </w:r>
    </w:p>
    <w:p>
      <w:pPr>
        <w:pStyle w:val="ListParagraph"/>
        <w:numPr>
          <w:ilvl w:val="0"/>
          <w:numId w:val="3"/>
        </w:numPr>
      </w:pPr>
      <w:r>
        <w:t xml:space="preserve">作为用户，我想把文件直接发给朋友，让他们不需要安装或注册就能独立完成测试。</w:t>
      </w:r>
    </w:p>
    <w:p>
      <w:pPr>
        <w:pStyle w:val="ListParagraph"/>
        <w:numPr>
          <w:ilvl w:val="0"/>
          <w:numId w:val="3"/>
        </w:numPr>
      </w:pPr>
      <w:r>
        <w:t xml:space="preserve">作为用户，我希望我的答题数据和结果不被上传到任何服务器。</w:t>
      </w:r>
    </w:p>
    <w:p>
      <w:pPr>
        <w:pStyle w:val="Heading2"/>
        <w:spacing w:after="180" w:before="180"/>
        <w:outlineLvl w:val="1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产品范围</w:t>
      </w:r>
      <w:bookmarkEnd w:id="11"/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本期范围（In Scope）</w:t>
      </w:r>
      <w:bookmarkEnd w:id="12"/>
    </w:p>
    <w:p>
      <w:pPr>
        <w:pStyle w:val="ListParagraph"/>
        <w:numPr>
          <w:ilvl w:val="0"/>
          <w:numId w:val="4"/>
        </w:numPr>
      </w:pPr>
      <w:r>
        <w:t xml:space="preserve">90 题 16Personalities 风格题库与五维度计分</w:t>
      </w:r>
    </w:p>
    <w:p>
      <w:pPr>
        <w:pStyle w:val="ListParagraph"/>
        <w:numPr>
          <w:ilvl w:val="0"/>
          <w:numId w:val="4"/>
        </w:numPr>
      </w:pPr>
      <w:r>
        <w:t xml:space="preserve">完整答题流程（含进度保存与续答）</w:t>
      </w:r>
    </w:p>
    <w:p>
      <w:pPr>
        <w:pStyle w:val="ListParagraph"/>
        <w:numPr>
          <w:ilvl w:val="0"/>
          <w:numId w:val="4"/>
        </w:numPr>
      </w:pPr>
      <w:r>
        <w:t xml:space="preserve">深度结果报告（16 型全档案）</w:t>
      </w:r>
    </w:p>
    <w:p>
      <w:pPr>
        <w:pStyle w:val="ListParagraph"/>
        <w:numPr>
          <w:ilvl w:val="0"/>
          <w:numId w:val="4"/>
        </w:numPr>
      </w:pPr>
      <w:r>
        <w:t xml:space="preserve">本地历史记录、轨迹对比、详情回看</w:t>
      </w:r>
    </w:p>
    <w:p>
      <w:pPr>
        <w:pStyle w:val="ListParagraph"/>
        <w:numPr>
          <w:ilvl w:val="0"/>
          <w:numId w:val="4"/>
        </w:numPr>
      </w:pPr>
      <w:r>
        <w:t xml:space="preserve">毛玻璃确认弹窗、toast 反馈、响应式界面</w:t>
      </w:r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明确不做（Out of Scope）</w:t>
      </w:r>
      <w:bookmarkEnd w:id="13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账号/登录系统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打开即用，无任何账号体系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云同步/服务端保存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数据仅存本地浏览器，换设备不迁移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iOS/Android 原生 App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仅响应式网页，不入应用商店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严肃心理测量学效度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界面明确标注"仅供娱乐参考"，不用于招聘、医疗等严肃决策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分享卡片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暂不纳入本期，留作后续迭代候选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题库编辑器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题库内置固定，不提供增删改题功能</w:t>
            </w:r>
          </w:p>
        </w:tc>
      </w:tr>
    </w:tbl>
    <w:p>
      <w:pPr>
        <w:pStyle w:val="Heading2"/>
        <w:spacing w:after="180" w:before="180"/>
        <w:outlineLvl w:val="1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功能需求</w:t>
      </w:r>
      <w:bookmarkEnd w:id="14"/>
    </w:p>
    <w:p>
      <w:pPr>
        <w:ind w:firstLine="480"/>
      </w:pPr>
      <w:r>
        <w:t xml:space="preserve">&gt; 优先级定义：P0 = 核心必须；P1 = 重要增强。验收标准均为 v1.0 实际交付时的通过项。</w:t>
      </w:r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FR-01 题库与计分（P0）</w:t>
      </w:r>
      <w:bookmarkEnd w:id="15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：内置 90 题中文题库，五维度（E/I、N/S、T/F、J/P、A/T）混合交错排列；采用五级量表（非常同意 / 同意 / 中性 / 不同意 / 非常不同意），选项分值 +3 / +2 / 0 / -2 / -3。</w:t>
      </w:r>
    </w:p>
    <w:p>
      <w:pPr>
        <w:ind w:firstLine="480"/>
      </w:pPr>
      <w:r>
        <w:rPr>
          <w:b/>
          <w:bCs/>
        </w:rPr>
        <w:t xml:space="preserve">计分规则</w:t>
      </w:r>
      <w:r>
        <w:t xml:space="preserve">：维度原始分 = Σ（选项分值 × 题目方向系数）；倾向百分比 = |原始分| ÷（该维度题数 × 3）× 100%；原始分 ≥ 0 取首字母，&lt; 0 取次字母；4 字母类型代码 + A/T 变体构成最终结果。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：题库共 90 题，维度分布为 EI/NS/TF/JP 各 20 题、AT 10 题；计分逻辑经脚本校验，正反题目平衡、比例归一化正确。</w:t>
      </w:r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FR-02 答题流程（P0）</w:t>
      </w:r>
      <w:bookmarkEnd w:id="16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：一页一题呈现；顶部进度条实时反映完成度；点击选项后约 220ms 自动前进下一题；显示当前题号（x / 90）与已完成题数。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：作答后自动前进；进度条百分比与实际完成题数一致。</w:t>
      </w:r>
    </w:p>
    <w:p>
      <w:pPr>
        <w:pStyle w:val="Heading3"/>
        <w:spacing w:after="120" w:before="120"/>
        <w:outlineLvl w:val="2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FR-03 回退修改（P0）</w:t>
      </w:r>
      <w:bookmarkEnd w:id="17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：答题页提供"上一题"按钮，可回退至任意已答题目；回退后原选择保持高亮，修改答案即覆盖原记录。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：回退修改后，最终计分以修改后的答案为准。</w:t>
      </w:r>
    </w:p>
    <w:p>
      <w:pPr>
        <w:pStyle w:val="Heading3"/>
        <w:spacing w:after="120" w:before="120"/>
        <w:outlineLvl w:val="2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FR-04 进度持久化与续答（P0）</w:t>
      </w:r>
      <w:bookmarkEnd w:id="18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：每次作答或回退后自动将进度写入 localStorage；欢迎页检测到未完成进度时，按钮变为"继续上次测试"，并展示提示条（含已完成题数）；测试完成后进度自动清除。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：作答 30 题后关闭页面，重新打开能显示续答提示；点击后从中断处继续；完成测试后进度记录被清除。</w:t>
      </w:r>
    </w:p>
    <w:p>
      <w:pPr>
        <w:pStyle w:val="Heading3"/>
        <w:spacing w:after="120" w:before="120"/>
        <w:outlineLvl w:val="2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FR-05 放弃测试（P1）</w:t>
      </w:r>
      <w:bookmarkEnd w:id="19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：答题页提供"放弃本次测试"入口，毛玻璃弹窗二次确认（说明进度将清除且不可恢复）后，清除进度并返回首页。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：确认后进度清空，首页不再出现续答提示；取消则返回答题页且进度保留。</w:t>
      </w:r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FR-06 结果报告（P0）</w:t>
      </w:r>
      <w:bookmarkEnd w:id="20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：测试完成后自动计分并展示深度报告，包括：4 字母类型代码与 A/T 变体（如 INFJ-A）；角色名称（如"提倡者"）与角色群归属（分析家 / 外交家 / 守护者 / 探索家）及群描述；五维度倾向可视化条（两侧字母与标签、倾向侧百分比填充）；分区报告——性格概览、核心优势（带说明）、潜在弱点（带说明）、职业方向、人际关系；身份策略说明（-A 自信型 / -T 谨慎型）。结果页主题色随角色群自动变化。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：16 种类型报告档案完整（每型含概览长文、优势与弱点各 4~5 条、职业方向、人际关系）；主题色与角色群匹配。</w:t>
      </w:r>
    </w:p>
    <w:p>
      <w:pPr>
        <w:pStyle w:val="Heading3"/>
        <w:spacing w:after="120" w:before="120"/>
        <w:outlineLvl w:val="2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FR-07 历史记录（P0）</w:t>
      </w:r>
      <w:bookmarkEnd w:id="21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：测试完成时自动保存一条记录（时间、类型代码、变体、五维度数据）；历史页以卡片列表展示（渐变徽章、角色名、时间、维度摘要），数据存于 localStorage。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：每完成一次测试历史记录数 +1；关闭页面后重新打开数据仍在。</w:t>
      </w:r>
    </w:p>
    <w:p>
      <w:pPr>
        <w:pStyle w:val="Heading3"/>
        <w:spacing w:after="120" w:before="120"/>
        <w:outlineLvl w:val="2"/>
      </w:pPr>
      <w:bookmarkStart w:id="22" w:name="toc_auto_2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FR-08 测试轨迹对比（P1）</w:t>
      </w:r>
      <w:bookmarkEnd w:id="22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：历史记录 ≥ 2 条时，展示"测试轨迹"对比表（类型、角色、时间、变化标记），类型发生变化时以醒目样式标注变化前后。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：两次测试类型不同时，变化列显示"旧类型 → 新类型"；类型未变时显示"类型未变"。</w:t>
      </w:r>
    </w:p>
    <w:p>
      <w:pPr>
        <w:pStyle w:val="Heading3"/>
        <w:spacing w:after="120" w:before="120"/>
        <w:outlineLvl w:val="2"/>
      </w:pPr>
      <w:bookmarkStart w:id="23" w:name="toc_auto_2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FR-09 历史详情回看（P1）</w:t>
      </w:r>
      <w:bookmarkEnd w:id="23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：点击历史卡片进入该次测试的完整结果详情（只读模式），并以时间戳标注来源。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：详情页数据与保存时一致，展示"历史记录 · 日期时间"标识。</w:t>
      </w:r>
    </w:p>
    <w:p>
      <w:pPr>
        <w:pStyle w:val="Heading3"/>
        <w:spacing w:after="120" w:before="120"/>
        <w:outlineLvl w:val="2"/>
      </w:pPr>
      <w:bookmarkStart w:id="24" w:name="toc_auto_2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FR-10 清空历史（P1）</w:t>
      </w:r>
      <w:bookmarkEnd w:id="24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：历史页提供"清空"入口，毛玻璃弹窗二次确认（含当前记录数与"不可恢复"警告），确认后删除全部记录并展示空状态，同时以 toast 提示操作结果。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：清空后列表为空态、localStorage 记录数为 0、toast 提示出现。</w:t>
      </w:r>
    </w:p>
    <w:p>
      <w:pPr>
        <w:pStyle w:val="Heading3"/>
        <w:spacing w:after="120" w:before="120"/>
        <w:outlineLvl w:val="2"/>
      </w:pPr>
      <w:bookmarkStart w:id="25" w:name="toc_auto_2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FR-11 娱乐参考声明（P0）</w:t>
      </w:r>
      <w:bookmarkEnd w:id="25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：欢迎页固定展示声明条："仅供娱乐与自我探索参考，非专业心理测量工具，结果不应作为职业选择、招聘、医疗等严肃决策的依据；答案与结果仅保存在本机浏览器中。"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：声明在欢迎页完整可见，不可跳过。</w:t>
      </w:r>
    </w:p>
    <w:p>
      <w:pPr>
        <w:pStyle w:val="Heading2"/>
        <w:spacing w:after="180" w:before="180"/>
        <w:outlineLvl w:val="1"/>
      </w:pPr>
      <w:bookmarkStart w:id="26" w:name="toc_auto_2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界面与交互设计</w:t>
      </w:r>
      <w:bookmarkEnd w:id="26"/>
    </w:p>
    <w:p>
      <w:pPr>
        <w:pStyle w:val="Heading3"/>
        <w:spacing w:after="120" w:before="120"/>
        <w:outlineLvl w:val="2"/>
      </w:pPr>
      <w:bookmarkStart w:id="27" w:name="toc_auto_2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页面结构</w:t>
      </w:r>
      <w:bookmarkEnd w:id="27"/>
    </w:p>
    <w:p>
      <w:pPr>
        <w:ind w:firstLine="480"/>
      </w:pPr>
      <w:r>
        <w:t xml:space="preserve">单页应用（SPA）四个视图切换：欢迎页 → 答题页 → 结果页 / 历史页。</w:t>
      </w:r>
    </w:p>
    <w:p>
      <w:pPr>
        <w:pStyle w:val="Heading3"/>
        <w:spacing w:after="120" w:before="120"/>
        <w:outlineLvl w:val="2"/>
      </w:pPr>
      <w:bookmarkStart w:id="28" w:name="toc_auto_2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视觉风格</w:t>
      </w:r>
      <w:bookmarkEnd w:id="28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规范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主色调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白底淡蓝（主色 #3b82f6 系），结果页主题色随四大角色群切换（紫/绿/蓝/黄）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Lucide 线条风格，以内联 SVG 内嵌，无外部字体/图标请求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弹窗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毛玻璃效果（backdrop-filter），圆角卡片，居中呈现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紧凑卡片式，主容器最大宽度 760px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反馈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底部 toast 提示（自动消失）、按钮悬停态、选项选中态动画</w:t>
            </w:r>
          </w:p>
        </w:tc>
      </w:tr>
    </w:tbl>
    <w:p>
      <w:pPr>
        <w:pStyle w:val="Heading3"/>
        <w:spacing w:after="120" w:before="120"/>
        <w:outlineLvl w:val="2"/>
      </w:pPr>
      <w:bookmarkStart w:id="29" w:name="toc_auto_2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响应式</w:t>
      </w:r>
      <w:bookmarkEnd w:id="29"/>
    </w:p>
    <w:p>
      <w:pPr>
        <w:pStyle w:val="ListParagraph"/>
        <w:numPr>
          <w:ilvl w:val="0"/>
          <w:numId w:val="5"/>
        </w:numPr>
      </w:pPr>
      <w:r>
        <w:t xml:space="preserve">断点：640px 以下切换为移动端布局（特性卡片纵向排列、按钮加宽、字号调整）</w:t>
      </w:r>
    </w:p>
    <w:p>
      <w:pPr>
        <w:pStyle w:val="ListParagraph"/>
        <w:numPr>
          <w:ilvl w:val="0"/>
          <w:numId w:val="5"/>
        </w:numPr>
      </w:pPr>
      <w:r>
        <w:t xml:space="preserve">兼容最小视口宽度 360px</w:t>
      </w:r>
    </w:p>
    <w:p>
      <w:pPr>
        <w:pStyle w:val="Heading2"/>
        <w:spacing w:after="180" w:before="180"/>
        <w:outlineLvl w:val="1"/>
      </w:pPr>
      <w:bookmarkStart w:id="30" w:name="toc_auto_3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非功能需求</w:t>
      </w:r>
      <w:bookmarkEnd w:id="3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架构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纯原生 HTML/CSS/JS 单文件，零外部依赖（无 CDN、无框架、无构建）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隐私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不发起任何网络请求；全部数据仅存本地 localStorage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兼容性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 Chrome / Edge / Firefox / Safari 近年版本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冷启动渲染 ≤ 1 秒；答题切换流畅无明显卡顿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体积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单文件体积 ≤ 100KB（v1.0 实际约 85KB）</w:t>
            </w:r>
          </w:p>
        </w:tc>
      </w:tr>
    </w:tbl>
    <w:p>
      <w:pPr>
        <w:pStyle w:val="Heading2"/>
        <w:spacing w:after="180" w:before="180"/>
        <w:outlineLvl w:val="1"/>
      </w:pPr>
      <w:bookmarkStart w:id="31" w:name="toc_auto_3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数据设计</w:t>
      </w:r>
      <w:bookmarkEnd w:id="31"/>
    </w:p>
    <w:p>
      <w:pPr>
        <w:pStyle w:val="Heading3"/>
        <w:spacing w:after="120" w:before="120"/>
        <w:outlineLvl w:val="2"/>
      </w:pPr>
      <w:bookmarkStart w:id="32" w:name="toc_auto_3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存储键</w:t>
      </w:r>
      <w:bookmarkEnd w:id="32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键名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mbti_quiz_v1_progress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当前答题进度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mbti_quiz_v1_history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历史测试记录（数组，新的在前）</w:t>
            </w:r>
          </w:p>
        </w:tc>
      </w:tr>
    </w:tbl>
    <w:p>
      <w:pPr>
        <w:pStyle w:val="Heading3"/>
        <w:spacing w:after="120" w:before="120"/>
        <w:outlineLvl w:val="2"/>
      </w:pPr>
      <w:bookmarkStart w:id="33" w:name="toc_auto_3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数据结构</w:t>
      </w:r>
      <w:bookmarkEnd w:id="33"/>
    </w:p>
    <w:p>
      <w:pPr>
        <w:ind w:firstLine="480"/>
      </w:pPr>
      <w:r>
        <w:rPr>
          <w:b/>
          <w:bCs/>
        </w:rPr>
        <w:t xml:space="preserve">进度记录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 answers: [90 个选项索引或 null], current: 当前题下标, started: 开始时间戳 }</w:t>
      </w:r>
    </w:p>
    <w:p>
      <w:pPr>
        <w:ind w:firstLine="480"/>
      </w:pPr>
      <w:r>
        <w:rPr>
          <w:b/>
          <w:bCs/>
        </w:rPr>
        <w:t xml:space="preserve">历史记录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 ts: 完成时间戳, code: "INFJ", variant: "A" | "T",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dims: { EI: { letter, pct }, NS: {...}, TF: {...}, JP: {...}, AT: {...} } }</w:t>
      </w:r>
    </w:p>
    <w:p>
      <w:pPr>
        <w:pStyle w:val="Heading3"/>
        <w:spacing w:after="120" w:before="120"/>
        <w:outlineLvl w:val="2"/>
      </w:pPr>
      <w:bookmarkStart w:id="34" w:name="toc_auto_3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计分公式</w:t>
      </w:r>
      <w:bookmarkEnd w:id="34"/>
    </w:p>
    <w:p>
      <w:pPr>
        <w:ind w:firstLine="480"/>
      </w:pPr>
      <w:r>
        <w:t xml:space="preserve">维度原始分 raw = Σ（选项分值 × 题目方向系数 d）；倾向百分比 pct = |raw| ÷（维度题数 × 3）× 100%；raw ≥ 0 → 首字母（E/N/T/J/A），raw &lt; 0 → 次字母（I/S/F/P/T）。</w:t>
      </w:r>
    </w:p>
    <w:p>
      <w:pPr>
        <w:pStyle w:val="Heading2"/>
        <w:spacing w:after="180" w:before="180"/>
        <w:outlineLvl w:val="1"/>
      </w:pPr>
      <w:bookmarkStart w:id="35" w:name="toc_auto_3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8. 交付与里程碑</w:t>
      </w:r>
      <w:bookmarkEnd w:id="3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需求梳理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苏格拉底式九问确认，形成 SPEC v1.0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已完成（2026-09-15）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开发实现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单文件程序开发，题库与 16 型档案编写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已完成（2026-09-15）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质量验证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 语法校验、数据完整性校验（90 题/16 型全通过）、浏览器全流程实测（答题、中断续答、结果渲染、历史对比、清空、移动端视口）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已完成（2026-09-15）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 发布，全流程验收通过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已交付</w:t>
            </w:r>
          </w:p>
        </w:tc>
      </w:tr>
    </w:tbl>
    <w:p>
      <w:pPr>
        <w:pStyle w:val="Heading2"/>
        <w:spacing w:after="180" w:before="180"/>
        <w:outlineLvl w:val="1"/>
      </w:pPr>
      <w:bookmarkStart w:id="36" w:name="toc_auto_3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9. 成功指标</w:t>
      </w:r>
      <w:bookmarkEnd w:id="36"/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流程完整可靠</w:t>
      </w:r>
      <w:r>
        <w:t xml:space="preserve">：从开始测试到查看报告全程无报错无卡顿，中断续答、历史回看、回退修改实际可用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结果准确一致</w:t>
      </w:r>
      <w:r>
        <w:t xml:space="preserve">：同一人测试结果与 16Personalities 官网测得类型一致，计分逻辑正确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朋友能独立玩</w:t>
      </w:r>
      <w:r>
        <w:t xml:space="preserve">：双击打开即用，不需要任何说明就能完成测试并觉得有意思</w:t>
      </w:r>
    </w:p>
    <w:p>
      <w:pPr>
        <w:pStyle w:val="Heading2"/>
        <w:spacing w:after="180" w:before="180"/>
        <w:outlineLvl w:val="1"/>
      </w:pPr>
      <w:bookmarkStart w:id="37" w:name="toc_auto_3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10. 风险与后续迭代</w:t>
      </w:r>
      <w:bookmarkEnd w:id="37"/>
    </w:p>
    <w:p>
      <w:pPr>
        <w:pStyle w:val="Heading3"/>
        <w:spacing w:after="120" w:before="120"/>
        <w:outlineLvl w:val="2"/>
      </w:pPr>
      <w:bookmarkStart w:id="38" w:name="toc_auto_3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10.1 风险与应对</w:t>
      </w:r>
      <w:bookmarkEnd w:id="3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应对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计分结果与用户自我认知不符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娱乐体验受挫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界面保留"仅供娱乐参考"声明；中性作答时按首字母取值并在维度条上呈现弱倾向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用户误清浏览器数据导致记录丢失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历史对比不可用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已在欢迎页声明本地存储边界；导出功能列为后续迭代候选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文件被转发至非现代浏览器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功能异常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页面声明建议使用近年主流浏览器</w:t>
            </w:r>
          </w:p>
        </w:tc>
      </w:tr>
    </w:tbl>
    <w:p>
      <w:pPr>
        <w:pStyle w:val="Heading3"/>
        <w:spacing w:after="120" w:before="120"/>
        <w:outlineLvl w:val="2"/>
      </w:pPr>
      <w:bookmarkStart w:id="39" w:name="toc_auto_3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10.2 后续迭代候选（Backlog）</w:t>
      </w:r>
      <w:bookmarkEnd w:id="39"/>
    </w:p>
    <w:p>
      <w:pPr>
        <w:pStyle w:val="ListParagraph"/>
        <w:numPr>
          <w:ilvl w:val="0"/>
          <w:numId w:val="7"/>
        </w:numPr>
      </w:pPr>
      <w:r>
        <w:t xml:space="preserve">分享卡片：结果页生成可保存的分享图片</w:t>
      </w:r>
    </w:p>
    <w:p>
      <w:pPr>
        <w:pStyle w:val="ListParagraph"/>
        <w:numPr>
          <w:ilvl w:val="0"/>
          <w:numId w:val="7"/>
        </w:numPr>
      </w:pPr>
      <w:r>
        <w:t xml:space="preserve">结果导出：历史记录导出/导入 JSON，跨设备迁移</w:t>
      </w:r>
    </w:p>
    <w:p>
      <w:pPr>
        <w:pStyle w:val="ListParagraph"/>
        <w:numPr>
          <w:ilvl w:val="0"/>
          <w:numId w:val="7"/>
        </w:numPr>
      </w:pPr>
      <w:r>
        <w:t xml:space="preserve">题库编辑器：支持自定义题库</w:t>
      </w:r>
    </w:p>
    <w:p>
      <w:pPr>
        <w:pStyle w:val="ListParagraph"/>
        <w:numPr>
          <w:ilvl w:val="0"/>
          <w:numId w:val="7"/>
        </w:numPr>
      </w:pPr>
      <w:r>
        <w:t xml:space="preserve">多语言：界面与报告的英文版本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36d88b4d-bf74-4c5e-9c38-16ba56968ef7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2026-09-15T09:02:51.257Z</dcterms:created>
  <dcterms:modified xsi:type="dcterms:W3CDTF">2026-09-15T09:02:51.257Z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36d88b4d-bf74-4c5e-9c38-16ba56968ef7","ReservedCode1":"6ba294d5-14da-4eef-8259-4b612264745f","ContentPropagator":"001191110102MAD55U9H0F10002","PropagateID":"36d88b4d-bf74-4c5e-9c38-16ba56968ef7","ReservedCode2":"6ba294d5-14da-4eef-8259-4b612264745f"}</vt:lpwstr>
  </property>
</Properties>
</file>