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A9E94">
      <w:pPr>
        <w:pStyle w:val="2"/>
        <w:ind w:left="720"/>
        <w:jc w:val="center"/>
        <w:rPr>
          <w:lang w:val="en-AU"/>
        </w:rPr>
      </w:pPr>
      <w:r>
        <w:rPr>
          <w:b/>
          <w:bCs/>
          <w:lang w:val="en-AU"/>
        </w:rPr>
        <w:t>Electrical Property Health Assessment</w:t>
      </w:r>
    </w:p>
    <w:p w14:paraId="60B59AE8">
      <w:pPr>
        <w:pStyle w:val="2"/>
        <w:rPr>
          <w:rFonts w:hint="eastAsia"/>
          <w:lang w:eastAsia="zh-CN"/>
        </w:rPr>
      </w:pPr>
    </w:p>
    <w:p w14:paraId="21E5A01A">
      <w:pPr>
        <w:pStyle w:val="48"/>
        <w:rPr>
          <w:i/>
          <w:iCs/>
        </w:rPr>
      </w:pPr>
    </w:p>
    <w:p w14:paraId="6F39F8FA">
      <w:pPr>
        <w:pStyle w:val="48"/>
        <w:rPr>
          <w:i/>
          <w:iCs/>
        </w:rPr>
      </w:pPr>
    </w:p>
    <w:p w14:paraId="1F58BC8B">
      <w:pPr>
        <w:pStyle w:val="48"/>
        <w:rPr>
          <w:i/>
          <w:iCs/>
        </w:rPr>
      </w:pPr>
    </w:p>
    <w:p w14:paraId="579EFE10">
      <w:pPr>
        <w:pStyle w:val="48"/>
        <w:rPr>
          <w:i/>
          <w:iCs/>
        </w:rPr>
      </w:pPr>
    </w:p>
    <w:p w14:paraId="0FDCAF14">
      <w:pPr>
        <w:pStyle w:val="48"/>
        <w:ind w:left="2160"/>
      </w:pPr>
      <w:r>
        <w:rPr>
          <w:i/>
          <w:iCs/>
        </w:rPr>
        <w:t>Independent electrical condition &amp; risk review</w:t>
      </w:r>
    </w:p>
    <w:p w14:paraId="20355554">
      <w:pPr>
        <w:pStyle w:val="48"/>
        <w:ind w:left="2160"/>
      </w:pPr>
      <w:r>
        <w:rPr>
          <w:i/>
          <w:iCs/>
        </w:rPr>
        <w:t>for residential investment properties</w:t>
      </w:r>
    </w:p>
    <w:p w14:paraId="3204A21B"/>
    <w:p w14:paraId="75CA7358">
      <w:pPr>
        <w:pStyle w:val="43"/>
        <w:rPr>
          <w:lang w:val="en-AU" w:eastAsia="zh-CN"/>
        </w:rPr>
      </w:pPr>
    </w:p>
    <w:p w14:paraId="7E373982"/>
    <w:p w14:paraId="14B12571">
      <w:pPr>
        <w:pStyle w:val="48"/>
      </w:pPr>
      <w:r>
        <w:rPr>
          <w:rStyle w:val="49"/>
          <w:rFonts w:eastAsiaTheme="majorEastAsia"/>
          <w:b/>
          <w:bCs/>
        </w:rPr>
        <w:t>Property Type:</w:t>
      </w:r>
      <w:r>
        <w:t xml:space="preserve"> </w:t>
      </w:r>
      <w:r>
        <w:rPr>
          <w:rFonts w:hint="eastAsia"/>
        </w:rPr>
      </w:r>
    </w:p>
    <w:p w14:paraId="6AF620B6">
      <w:pPr>
        <w:pStyle w:val="48"/>
      </w:pPr>
      <w:r>
        <w:rPr>
          <w:rStyle w:val="49"/>
          <w:rFonts w:eastAsiaTheme="majorEastAsia"/>
          <w:b/>
          <w:bCs/>
        </w:rPr>
        <w:t>Assessment Purpose:</w:t>
      </w:r>
      <w:r>
        <w:t xml:space="preserve"> Risk clarity &amp; decision support</w:t>
      </w:r>
    </w:p>
    <w:p w14:paraId="7F51DCF3">
      <w:pPr>
        <w:pStyle w:val="48"/>
      </w:pPr>
      <w:r>
        <w:rPr>
          <w:rStyle w:val="49"/>
          <w:rFonts w:eastAsiaTheme="majorEastAsia"/>
          <w:b/>
          <w:bCs/>
        </w:rPr>
        <w:t>Prepared For:</w:t>
      </w:r>
      <w:r/>
    </w:p>
    <w:p w14:paraId="029659A1">
      <w:pPr>
        <w:pStyle w:val="48"/>
      </w:pPr>
      <w:r>
        <w:rPr>
          <w:rStyle w:val="49"/>
          <w:rFonts w:eastAsiaTheme="majorEastAsia"/>
          <w:b/>
          <w:bCs/>
        </w:rPr>
        <w:t>Prepared By:</w:t>
      </w:r>
      <w:r>
        <w:t xml:space="preserve"> Better Home Technology Pty Ltd</w:t>
      </w:r>
    </w:p>
    <w:p w14:paraId="5CF938FF">
      <w:pPr>
        <w:pStyle w:val="50"/>
      </w:pPr>
      <w:r>
        <w:rPr>
          <w:b/>
          <w:bCs/>
        </w:rPr>
        <w:t>Assessment Date:</w:t>
      </w:r>
      <w:r>
        <w:rPr>
          <w:rStyle w:val="51"/>
          <w:rFonts w:eastAsiaTheme="majorEastAsia"/>
        </w:rPr>
      </w:r>
    </w:p>
    <w:p w14:paraId="191E047F">
      <w:pPr>
        <w:pStyle w:val="3"/>
        <w:bidi w:val="0"/>
        <w:jc w:val="center"/>
      </w:pPr>
      <w:r>
        <w:t>Table of Contents</w:t>
      </w:r>
    </w:p>
    <w:p w14:paraId="39873E3F"/>
    <w:p w14:paraId="59EE516B">
      <w:pPr>
        <w:pStyle w:val="13"/>
        <w:numPr>
          <w:ilvl w:val="0"/>
          <w:numId w:val="0"/>
        </w:numPr>
        <w:spacing w:line="600" w:lineRule="auto"/>
        <w:ind w:leftChars="600"/>
        <w:jc w:val="both"/>
      </w:pPr>
    </w:p>
    <w:p w14:paraId="3D115754">
      <w:pPr>
        <w:pStyle w:val="13"/>
        <w:numPr>
          <w:ilvl w:val="0"/>
          <w:numId w:val="3"/>
        </w:numPr>
        <w:spacing w:line="600" w:lineRule="auto"/>
        <w:ind w:left="425" w:leftChars="0" w:hanging="425" w:firstLineChars="0"/>
        <w:jc w:val="both"/>
      </w:pPr>
      <w:r>
        <w:t>Appendix – Test Results Summary</w:t>
      </w:r>
    </w:p>
    <w:p w14:paraId="69F780BD">
      <w:pPr>
        <w:pStyle w:val="13"/>
        <w:numPr>
          <w:ilvl w:val="0"/>
          <w:numId w:val="3"/>
        </w:numPr>
        <w:spacing w:line="600" w:lineRule="auto"/>
        <w:ind w:left="425" w:leftChars="0" w:hanging="425" w:firstLineChars="0"/>
        <w:jc w:val="both"/>
      </w:pPr>
      <w:r>
        <w:t>Capital Planning &amp; Budget Considerations (0–5 Years)</w:t>
      </w:r>
    </w:p>
    <w:p w14:paraId="6A2BBDD6">
      <w:pPr>
        <w:pStyle w:val="13"/>
        <w:numPr>
          <w:ilvl w:val="0"/>
          <w:numId w:val="3"/>
        </w:numPr>
        <w:spacing w:line="600" w:lineRule="auto"/>
        <w:ind w:left="425" w:leftChars="0" w:hanging="425" w:firstLineChars="0"/>
        <w:jc w:val="both"/>
      </w:pPr>
      <w:r>
        <w:t>Executive Summary</w:t>
      </w:r>
    </w:p>
    <w:p w14:paraId="5DA7E9A5">
      <w:pPr>
        <w:pStyle w:val="13"/>
        <w:numPr>
          <w:ilvl w:val="0"/>
          <w:numId w:val="3"/>
        </w:numPr>
        <w:spacing w:line="600" w:lineRule="auto"/>
        <w:ind w:left="425" w:leftChars="0" w:hanging="425" w:firstLineChars="0"/>
        <w:jc w:val="both"/>
      </w:pPr>
      <w:r>
        <w:t>General Observations</w:t>
      </w:r>
    </w:p>
    <w:p w14:paraId="4ED4F6A3">
      <w:pPr>
        <w:pStyle w:val="13"/>
        <w:numPr>
          <w:ilvl w:val="0"/>
          <w:numId w:val="3"/>
        </w:numPr>
        <w:spacing w:line="600" w:lineRule="auto"/>
        <w:ind w:left="425" w:leftChars="0" w:hanging="425" w:firstLineChars="0"/>
        <w:jc w:val="both"/>
      </w:pPr>
      <w:r>
        <w:t>Immediate Attention Items</w:t>
      </w:r>
    </w:p>
    <w:p w14:paraId="7252D529">
      <w:pPr>
        <w:pStyle w:val="13"/>
        <w:numPr>
          <w:ilvl w:val="0"/>
          <w:numId w:val="3"/>
        </w:numPr>
        <w:spacing w:line="600" w:lineRule="auto"/>
        <w:ind w:left="425" w:leftChars="0" w:hanging="425" w:firstLineChars="0"/>
        <w:jc w:val="both"/>
      </w:pPr>
      <w:r>
        <w:t>Investor Options &amp; Next Steps</w:t>
      </w:r>
    </w:p>
    <w:p w14:paraId="2439F636">
      <w:pPr>
        <w:pStyle w:val="13"/>
        <w:numPr>
          <w:ilvl w:val="0"/>
          <w:numId w:val="3"/>
        </w:numPr>
        <w:spacing w:line="600" w:lineRule="auto"/>
        <w:ind w:left="425" w:leftChars="0" w:hanging="425" w:firstLineChars="0"/>
        <w:jc w:val="both"/>
      </w:pPr>
      <w:r>
        <w:t>Items Not Requiring Action</w:t>
      </w:r>
    </w:p>
    <w:p w14:paraId="463A22D6">
      <w:pPr>
        <w:pStyle w:val="13"/>
        <w:numPr>
          <w:ilvl w:val="0"/>
          <w:numId w:val="3"/>
        </w:numPr>
        <w:spacing w:line="600" w:lineRule="auto"/>
        <w:ind w:left="425" w:leftChars="0" w:hanging="425" w:firstLineChars="0"/>
        <w:jc w:val="both"/>
      </w:pPr>
      <w:r>
        <w:t>Legal Disclaimer &amp; Liability Boundary</w:t>
      </w:r>
    </w:p>
    <w:p w14:paraId="391507E1">
      <w:pPr>
        <w:pStyle w:val="13"/>
        <w:numPr>
          <w:ilvl w:val="0"/>
          <w:numId w:val="3"/>
        </w:numPr>
        <w:spacing w:line="600" w:lineRule="auto"/>
        <w:ind w:left="425" w:leftChars="0" w:hanging="425" w:firstLineChars="0"/>
        <w:jc w:val="both"/>
      </w:pPr>
      <w:r>
        <w:t>Monitoring &amp; Planned Action Items</w:t>
      </w:r>
    </w:p>
    <w:p w14:paraId="415B7658">
      <w:pPr>
        <w:pStyle w:val="13"/>
        <w:numPr>
          <w:ilvl w:val="0"/>
          <w:numId w:val="3"/>
        </w:numPr>
        <w:spacing w:line="600" w:lineRule="auto"/>
        <w:ind w:left="425" w:leftChars="0" w:hanging="425" w:firstLineChars="0"/>
        <w:jc w:val="both"/>
      </w:pPr>
      <w:r>
        <w:t>Overall Electrical Risk Rating</w:t>
      </w:r>
    </w:p>
    <w:p w14:paraId="09E44ADA">
      <w:pPr>
        <w:pStyle w:val="13"/>
        <w:numPr>
          <w:ilvl w:val="0"/>
          <w:numId w:val="3"/>
        </w:numPr>
        <w:spacing w:line="600" w:lineRule="auto"/>
        <w:ind w:left="425" w:leftChars="0" w:hanging="425" w:firstLineChars="0"/>
        <w:jc w:val="both"/>
      </w:pPr>
      <w:r>
        <w:t>Purpose &amp; How to Use This Report</w:t>
      </w:r>
    </w:p>
    <w:p w14:paraId="7ADAE85D">
      <w:pPr>
        <w:pStyle w:val="13"/>
        <w:numPr>
          <w:ilvl w:val="0"/>
          <w:numId w:val="3"/>
        </w:numPr>
        <w:spacing w:line="600" w:lineRule="auto"/>
        <w:ind w:left="425" w:leftChars="0" w:hanging="425" w:firstLineChars="0"/>
        <w:jc w:val="both"/>
      </w:pPr>
      <w:r>
        <w:t>Scope, Methodology &amp; Independence</w:t>
      </w:r>
    </w:p>
    <w:p w14:paraId="289D22EE">
      <w:pPr>
        <w:pStyle w:val="13"/>
        <w:numPr>
          <w:ilvl w:val="0"/>
          <w:numId w:val="3"/>
        </w:numPr>
        <w:spacing w:line="600" w:lineRule="auto"/>
        <w:ind w:left="425" w:leftChars="0" w:hanging="425" w:firstLineChars="0"/>
        <w:jc w:val="both"/>
      </w:pPr>
      <w:r>
        <w:t>Terms &amp; Conditions</w:t>
      </w:r>
    </w:p>
    <w:p w14:paraId="27F66A89">
      <w:pPr>
        <w:pStyle w:val="13"/>
        <w:numPr>
          <w:ilvl w:val="0"/>
          <w:numId w:val="3"/>
        </w:numPr>
        <w:spacing w:line="600" w:lineRule="auto"/>
        <w:ind w:left="425" w:leftChars="0" w:hanging="425" w:firstLineChars="0"/>
        <w:jc w:val="both"/>
      </w:pPr>
      <w:r>
        <w:t>Visual Evidence &amp; Thermal Imaging (where applicable)</w:t>
      </w:r>
    </w:p>
    <w:p w14:paraId="108720A6">
      <w:pPr>
        <w:pStyle w:val="13"/>
        <w:numPr>
          <w:ilvl w:val="0"/>
          <w:numId w:val="0"/>
        </w:numPr>
      </w:pPr>
    </w:p>
    <w:p w14:paraId="2C802A70">
      <w:pPr>
        <w:pStyle w:val="13"/>
        <w:numPr>
          <w:ilvl w:val="0"/>
          <w:numId w:val="0"/>
        </w:numPr>
        <w:rPr>
          <w:lang w:val="en-AU" w:eastAsia="zh-CN"/>
        </w:rPr>
      </w:pPr>
    </w:p>
    <w:p w14:paraId="31E6E6F1">
      <w:pPr>
        <w:pStyle w:val="3"/>
        <w:bidi w:val="0"/>
        <w:jc w:val="center"/>
        <w:rPr>
          <w:lang w:val="en-AU"/>
        </w:rPr>
      </w:pPr>
      <w:r>
        <w:t>Purpose &amp; How to Use This Report</w:t>
      </w:r>
    </w:p>
    <w:p w14:paraId="7E43DA8B">
      <w:pPr>
        <w:pStyle w:val="4"/>
        <w:ind w:left="720"/>
        <w:rPr>
          <w:sz w:val="32"/>
          <w:szCs w:val="32"/>
        </w:rPr>
      </w:pPr>
      <w:r>
        <w:rPr>
          <w:sz w:val="32"/>
          <w:szCs w:val="32"/>
        </w:rPr>
        <w:t>Purpose of This Assessment</w:t>
      </w:r>
    </w:p>
    <w:p w14:paraId="5C61524A">
      <w:pPr>
        <w:pStyle w:val="52"/>
        <w:ind w:left="720"/>
      </w:pPr>
      <w:r>
        <w:t>This assessment has been prepared to address a common challenge faced by property investors:</w:t>
      </w:r>
    </w:p>
    <w:p w14:paraId="14D7CA0F">
      <w:pPr>
        <w:ind w:left="720"/>
        <w:rPr>
          <w:rFonts w:ascii="Helvetica Neue" w:hAnsi="Helvetica Neue"/>
          <w:color w:val="0E0E0E"/>
          <w:sz w:val="21"/>
          <w:szCs w:val="21"/>
        </w:rPr>
      </w:pPr>
      <w:r>
        <w:rPr>
          <w:rFonts w:ascii="Helvetica Neue" w:hAnsi="Helvetica Neue"/>
          <w:b/>
          <w:bCs/>
          <w:color w:val="0E0E0E"/>
          <w:sz w:val="21"/>
          <w:szCs w:val="21"/>
        </w:rPr>
        <w:t>Making electrical decisions without clear visibility of actual risk.</w:t>
      </w:r>
    </w:p>
    <w:p w14:paraId="356F4C29">
      <w:pPr>
        <w:pStyle w:val="52"/>
        <w:ind w:left="720"/>
      </w:pPr>
      <w:r>
        <w:t>Unlike routine inspections or reactive repairs, this report is designed to:</w:t>
      </w:r>
    </w:p>
    <w:p w14:paraId="09C988E7">
      <w:pPr>
        <w:pStyle w:val="48"/>
        <w:numPr>
          <w:ilvl w:val="0"/>
          <w:numId w:val="4"/>
        </w:numPr>
        <w:tabs>
          <w:tab w:val="left" w:pos="2880"/>
          <w:tab w:val="clear" w:pos="720"/>
        </w:tabs>
        <w:ind w:left="1440"/>
      </w:pPr>
      <w:r>
        <w:t xml:space="preserve">Translate technical observations into </w:t>
      </w:r>
      <w:r>
        <w:rPr>
          <w:rStyle w:val="49"/>
          <w:rFonts w:eastAsiaTheme="majorEastAsia"/>
          <w:b/>
          <w:bCs/>
        </w:rPr>
        <w:t>investment-relevant risk insights</w:t>
      </w:r>
    </w:p>
    <w:p w14:paraId="1395CEC0">
      <w:pPr>
        <w:pStyle w:val="48"/>
        <w:numPr>
          <w:ilvl w:val="0"/>
          <w:numId w:val="4"/>
        </w:numPr>
        <w:tabs>
          <w:tab w:val="left" w:pos="2880"/>
          <w:tab w:val="clear" w:pos="720"/>
        </w:tabs>
        <w:ind w:left="1440"/>
      </w:pPr>
      <w:r>
        <w:rPr>
          <w:rStyle w:val="49"/>
          <w:rFonts w:eastAsiaTheme="majorEastAsia"/>
        </w:rPr>
        <w:t xml:space="preserve">Distinguish between </w:t>
      </w:r>
      <w:r>
        <w:rPr>
          <w:b/>
          <w:bCs/>
        </w:rPr>
        <w:t>immediate safety concerns</w:t>
      </w:r>
      <w:r>
        <w:rPr>
          <w:rStyle w:val="49"/>
          <w:rFonts w:eastAsiaTheme="majorEastAsia"/>
        </w:rPr>
        <w:t xml:space="preserve">, </w:t>
      </w:r>
      <w:r>
        <w:rPr>
          <w:b/>
          <w:bCs/>
        </w:rPr>
        <w:t>long-term degradation</w:t>
      </w:r>
      <w:r>
        <w:rPr>
          <w:rStyle w:val="49"/>
          <w:rFonts w:eastAsiaTheme="majorEastAsia"/>
        </w:rPr>
        <w:t xml:space="preserve">, and </w:t>
      </w:r>
      <w:r>
        <w:rPr>
          <w:b/>
          <w:bCs/>
        </w:rPr>
        <w:t>non-issues</w:t>
      </w:r>
    </w:p>
    <w:p w14:paraId="75296481">
      <w:pPr>
        <w:pStyle w:val="48"/>
        <w:numPr>
          <w:ilvl w:val="0"/>
          <w:numId w:val="4"/>
        </w:numPr>
        <w:tabs>
          <w:tab w:val="left" w:pos="2880"/>
          <w:tab w:val="clear" w:pos="720"/>
        </w:tabs>
        <w:ind w:left="1440"/>
      </w:pPr>
      <w:r>
        <w:t xml:space="preserve">Support </w:t>
      </w:r>
      <w:r>
        <w:rPr>
          <w:rStyle w:val="49"/>
          <w:rFonts w:eastAsiaTheme="majorEastAsia"/>
          <w:b/>
          <w:bCs/>
        </w:rPr>
        <w:t>measured, non-reactive decisions</w:t>
      </w:r>
      <w:r>
        <w:t xml:space="preserve"> aligned with property investment goals</w:t>
      </w:r>
    </w:p>
    <w:p w14:paraId="50019103">
      <w:pPr>
        <w:pStyle w:val="48"/>
        <w:numPr>
          <w:ilvl w:val="0"/>
          <w:numId w:val="4"/>
        </w:numPr>
        <w:tabs>
          <w:tab w:val="left" w:pos="2880"/>
          <w:tab w:val="clear" w:pos="720"/>
        </w:tabs>
        <w:ind w:left="1440"/>
      </w:pPr>
      <w:r>
        <w:t>Reduce unnecessary expenditure driven by uncertainty or conflicting advice</w:t>
      </w:r>
    </w:p>
    <w:p w14:paraId="67250C5C">
      <w:pPr>
        <w:pStyle w:val="50"/>
        <w:ind w:left="720"/>
      </w:pPr>
    </w:p>
    <w:p w14:paraId="13581152">
      <w:pPr>
        <w:pStyle w:val="52"/>
        <w:ind w:left="720"/>
      </w:pPr>
      <w:r>
        <w:t xml:space="preserve">This assessment does </w:t>
      </w:r>
      <w:r>
        <w:rPr>
          <w:rStyle w:val="51"/>
          <w:b/>
          <w:bCs/>
        </w:rPr>
        <w:t>not assume</w:t>
      </w:r>
      <w:r>
        <w:t xml:space="preserve"> that all electrical deviations require rectification.</w:t>
      </w:r>
    </w:p>
    <w:p w14:paraId="349D3FD8">
      <w:pPr>
        <w:pStyle w:val="53"/>
        <w:ind w:left="720"/>
      </w:pPr>
      <w:r>
        <w:rPr>
          <w:rStyle w:val="54"/>
        </w:rPr>
        <w:t xml:space="preserve">Its primary role is to clarify </w:t>
      </w:r>
      <w:r>
        <w:rPr>
          <w:b/>
          <w:bCs/>
        </w:rPr>
        <w:t>what truly matters — and what does not</w:t>
      </w:r>
      <w:r>
        <w:rPr>
          <w:rStyle w:val="54"/>
        </w:rPr>
        <w:t>.</w:t>
      </w:r>
    </w:p>
    <w:p w14:paraId="0FA71F22">
      <w:pPr>
        <w:ind w:left="720"/>
        <w:rPr>
          <w:rStyle w:val="49"/>
        </w:rPr>
      </w:pPr>
      <w:r>
        <w:rPr>
          <w:rStyle w:val="49"/>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196210C7">
      <w:pPr>
        <w:pStyle w:val="4"/>
        <w:ind w:left="720"/>
      </w:pPr>
      <w:r>
        <w:t>How to Use This Report Effectively</w:t>
      </w:r>
    </w:p>
    <w:p w14:paraId="622A6953">
      <w:pPr>
        <w:pStyle w:val="50"/>
        <w:ind w:left="720"/>
      </w:pPr>
    </w:p>
    <w:p w14:paraId="1017767D">
      <w:pPr>
        <w:pStyle w:val="52"/>
        <w:ind w:left="720"/>
      </w:pPr>
      <w:r>
        <w:t>Property owners are encouraged to:</w:t>
      </w:r>
    </w:p>
    <w:p w14:paraId="6F294B03">
      <w:pPr>
        <w:pStyle w:val="48"/>
        <w:numPr>
          <w:ilvl w:val="0"/>
          <w:numId w:val="5"/>
        </w:numPr>
        <w:tabs>
          <w:tab w:val="left" w:pos="2880"/>
          <w:tab w:val="clear" w:pos="720"/>
        </w:tabs>
        <w:ind w:left="1440"/>
      </w:pPr>
      <w:r>
        <w:rPr>
          <w:rStyle w:val="49"/>
          <w:rFonts w:eastAsiaTheme="majorEastAsia"/>
        </w:rPr>
        <w:t xml:space="preserve">Focus first on the </w:t>
      </w:r>
      <w:r>
        <w:rPr>
          <w:b/>
          <w:bCs/>
        </w:rPr>
        <w:t>Executive Summary and Risk Rating</w:t>
      </w:r>
    </w:p>
    <w:p w14:paraId="1E2F955F">
      <w:pPr>
        <w:pStyle w:val="48"/>
        <w:numPr>
          <w:ilvl w:val="0"/>
          <w:numId w:val="5"/>
        </w:numPr>
        <w:tabs>
          <w:tab w:val="left" w:pos="2160"/>
          <w:tab w:val="clear" w:pos="720"/>
        </w:tabs>
        <w:ind w:left="1440"/>
      </w:pPr>
      <w:r>
        <w:t xml:space="preserve">Use detailed sections to understand </w:t>
      </w:r>
      <w:r>
        <w:rPr>
          <w:rStyle w:val="49"/>
          <w:rFonts w:eastAsiaTheme="majorEastAsia"/>
          <w:b/>
          <w:bCs/>
        </w:rPr>
        <w:t>context</w:t>
      </w:r>
      <w:r>
        <w:t>, not to self-diagnose</w:t>
      </w:r>
    </w:p>
    <w:p w14:paraId="22822AEA">
      <w:pPr>
        <w:pStyle w:val="48"/>
        <w:numPr>
          <w:ilvl w:val="0"/>
          <w:numId w:val="5"/>
        </w:numPr>
        <w:tabs>
          <w:tab w:val="left" w:pos="2160"/>
          <w:tab w:val="clear" w:pos="720"/>
        </w:tabs>
        <w:ind w:left="1440"/>
      </w:pPr>
      <w:r>
        <w:t xml:space="preserve">Treat recommendations as </w:t>
      </w:r>
      <w:r>
        <w:rPr>
          <w:rStyle w:val="49"/>
          <w:rFonts w:eastAsiaTheme="majorEastAsia"/>
          <w:b/>
          <w:bCs/>
        </w:rPr>
        <w:t>planning inputs</w:t>
      </w:r>
      <w:r>
        <w:t>, not mandatory instructions</w:t>
      </w:r>
    </w:p>
    <w:p w14:paraId="5F7098F3">
      <w:pPr>
        <w:pStyle w:val="17"/>
        <w:keepNext w:val="0"/>
        <w:keepLines w:val="0"/>
        <w:widowControl/>
        <w:suppressLineNumbers w:val="0"/>
        <w:spacing w:before="0" w:beforeAutospacing="1" w:after="0" w:afterAutospacing="1"/>
        <w:ind w:left="0" w:right="0"/>
      </w:pPr>
      <w:r>
        <w:t xml:space="preserve">This report should be read in full and interpreted as a </w:t>
      </w:r>
      <w:r>
        <w:rPr>
          <w:rStyle w:val="49"/>
          <w:b/>
          <w:bCs/>
        </w:rPr>
        <w:t>risk management and asset planning tool</w:t>
      </w:r>
      <w:r>
        <w:t>, rather than a compliance certificate or repair quotation.</w:t>
      </w:r>
    </w:p>
    <w:p w14:paraId="6C702098">
      <w:pPr>
        <w:pStyle w:val="17"/>
        <w:keepNext w:val="0"/>
        <w:keepLines w:val="0"/>
        <w:widowControl/>
        <w:suppressLineNumbers w:val="0"/>
        <w:spacing w:before="0" w:beforeAutospacing="1" w:after="0" w:afterAutospacing="1"/>
        <w:ind w:left="0" w:right="0"/>
      </w:pPr>
      <w:r>
        <w:t xml:space="preserve">Where works are undertaken, this report may also serve as </w:t>
      </w:r>
      <w:r>
        <w:rPr>
          <w:rStyle w:val="49"/>
          <w:b/>
          <w:bCs/>
        </w:rPr>
        <w:t>documented due diligence</w:t>
      </w:r>
      <w:r>
        <w:t xml:space="preserve"> for insurance reference, asset management records, or professional advisory discussions.</w:t>
      </w:r>
    </w:p>
    <w:p w14:paraId="64E8CEF9">
      <w:pPr>
        <w:ind w:left="1440"/>
        <w:rPr>
          <w:lang w:eastAsia="zh-CN"/>
        </w:rPr>
      </w:pPr>
    </w:p>
    <w:p w14:paraId="0A174911">
      <w:pPr>
        <w:pStyle w:val="3"/>
        <w:jc w:val="center"/>
        <w:rPr>
          <w:lang w:val="en-AU"/>
        </w:rPr>
      </w:pPr>
      <w:r>
        <w:t>Scope, Limitations &amp; Independence</w:t>
      </w:r>
    </w:p>
    <w:p w14:paraId="458D9F7B">
      <w:pPr>
        <w:pStyle w:val="4"/>
        <w:ind w:left="720"/>
      </w:pPr>
      <w:r>
        <w:t>Scope of Electrical Assessment</w:t>
      </w:r>
    </w:p>
    <w:p w14:paraId="652C072D">
      <w:pPr>
        <w:pStyle w:val="52"/>
        <w:ind w:left="720"/>
      </w:pPr>
      <w:r>
        <w:t>This assessment includes a structured review of the following electrical components:</w:t>
      </w:r>
    </w:p>
    <w:p w14:paraId="651C2CDA">
      <w:pPr>
        <w:pStyle w:val="48"/>
        <w:numPr>
          <w:ilvl w:val="0"/>
          <w:numId w:val="6"/>
        </w:numPr>
        <w:tabs>
          <w:tab w:val="left" w:pos="2160"/>
          <w:tab w:val="clear" w:pos="720"/>
        </w:tabs>
        <w:ind w:left="1440"/>
      </w:pPr>
      <w:r>
        <w:t>Main switchboard enclosure, layout, and protection devices</w:t>
      </w:r>
    </w:p>
    <w:p w14:paraId="04F1896E">
      <w:pPr>
        <w:pStyle w:val="48"/>
        <w:numPr>
          <w:ilvl w:val="0"/>
          <w:numId w:val="6"/>
        </w:numPr>
        <w:tabs>
          <w:tab w:val="left" w:pos="2160"/>
          <w:tab w:val="clear" w:pos="720"/>
        </w:tabs>
        <w:ind w:left="1440"/>
      </w:pPr>
      <w:r>
        <w:t>Circuit configuration and load distribution (where observable)</w:t>
      </w:r>
    </w:p>
    <w:p w14:paraId="4131F975">
      <w:pPr>
        <w:pStyle w:val="48"/>
        <w:numPr>
          <w:ilvl w:val="0"/>
          <w:numId w:val="6"/>
        </w:numPr>
        <w:tabs>
          <w:tab w:val="left" w:pos="2160"/>
          <w:tab w:val="clear" w:pos="720"/>
        </w:tabs>
        <w:ind w:left="1440"/>
      </w:pPr>
      <w:r>
        <w:t>Presence and condition of RCD protection</w:t>
      </w:r>
    </w:p>
    <w:p w14:paraId="353BD5B2">
      <w:pPr>
        <w:pStyle w:val="48"/>
        <w:numPr>
          <w:ilvl w:val="0"/>
          <w:numId w:val="6"/>
        </w:numPr>
        <w:tabs>
          <w:tab w:val="left" w:pos="2160"/>
          <w:tab w:val="clear" w:pos="720"/>
        </w:tabs>
        <w:ind w:left="1440"/>
      </w:pPr>
      <w:r>
        <w:t>General condition of visible cabling and terminations</w:t>
      </w:r>
    </w:p>
    <w:p w14:paraId="5381DF7C">
      <w:pPr>
        <w:pStyle w:val="48"/>
        <w:numPr>
          <w:ilvl w:val="0"/>
          <w:numId w:val="6"/>
        </w:numPr>
        <w:tabs>
          <w:tab w:val="left" w:pos="2160"/>
          <w:tab w:val="clear" w:pos="720"/>
        </w:tabs>
        <w:ind w:left="1440"/>
      </w:pPr>
      <w:r>
        <w:t>Functional testing of selected outlets and lighting circuits</w:t>
      </w:r>
    </w:p>
    <w:p w14:paraId="758E4BDB">
      <w:pPr>
        <w:pStyle w:val="48"/>
        <w:numPr>
          <w:ilvl w:val="0"/>
          <w:numId w:val="6"/>
        </w:numPr>
        <w:tabs>
          <w:tab w:val="left" w:pos="2160"/>
          <w:tab w:val="clear" w:pos="720"/>
        </w:tabs>
        <w:ind w:left="1440"/>
      </w:pPr>
      <w:r>
        <w:t>Earthing continuity at accessible points</w:t>
      </w:r>
    </w:p>
    <w:p w14:paraId="6F01036C">
      <w:pPr>
        <w:pStyle w:val="52"/>
        <w:ind w:left="720"/>
      </w:pPr>
      <w:r>
        <w:t xml:space="preserve">The inspection was conducted under </w:t>
      </w:r>
      <w:r>
        <w:rPr>
          <w:rStyle w:val="51"/>
          <w:b/>
          <w:bCs/>
        </w:rPr>
        <w:t>normal operating conditions</w:t>
      </w:r>
      <w:r>
        <w:t>,</w:t>
      </w:r>
    </w:p>
    <w:p w14:paraId="14ED319C">
      <w:pPr>
        <w:pStyle w:val="52"/>
        <w:ind w:left="720"/>
      </w:pPr>
      <w:r>
        <w:t>without inducing abnormal loads or disassembly of fixed equipment.</w:t>
      </w:r>
    </w:p>
    <w:p w14:paraId="6A94EC62">
      <w:pPr>
        <w:ind w:left="720"/>
        <w:rPr>
          <w:rStyle w:val="49"/>
        </w:rPr>
      </w:pPr>
      <w:r>
        <w:rPr>
          <w:rStyle w:val="49"/>
        </w:rPr>
        <w:pict>
          <v:rect id="_x0000_i1026" o:spt="1" style="height:0.05pt;width:451.3pt;" fillcolor="#A0A0A0" filled="t" stroked="f" coordsize="21600,21600" o:hr="t" o:hrstd="t" o:hralign="center">
            <v:path/>
            <v:fill on="t" focussize="0,0"/>
            <v:stroke on="f"/>
            <v:imagedata o:title=""/>
            <o:lock v:ext="edit"/>
            <w10:wrap type="none"/>
            <w10:anchorlock/>
          </v:rect>
        </w:pict>
      </w:r>
    </w:p>
    <w:p w14:paraId="458E6D4F">
      <w:pPr>
        <w:pStyle w:val="4"/>
        <w:ind w:left="720"/>
      </w:pPr>
      <w:r>
        <w:t>Limitations of Assessment</w:t>
      </w:r>
    </w:p>
    <w:p w14:paraId="04044FD6">
      <w:pPr>
        <w:pStyle w:val="55"/>
        <w:ind w:left="720"/>
      </w:pPr>
      <w:r>
        <w:rPr>
          <w:rStyle w:val="54"/>
        </w:rPr>
        <w:t xml:space="preserve">This assessment is limited to </w:t>
      </w:r>
      <w:r>
        <w:rPr>
          <w:b/>
          <w:bCs/>
        </w:rPr>
        <w:t>accessible and visible areas only</w:t>
      </w:r>
      <w:r>
        <w:rPr>
          <w:rStyle w:val="54"/>
        </w:rPr>
        <w:t>.</w:t>
      </w:r>
    </w:p>
    <w:p w14:paraId="347779F1">
      <w:pPr>
        <w:pStyle w:val="52"/>
        <w:ind w:left="720"/>
      </w:pPr>
      <w:r>
        <w:t>The following were not inspected or tested:</w:t>
      </w:r>
    </w:p>
    <w:p w14:paraId="668DEB0A">
      <w:pPr>
        <w:pStyle w:val="48"/>
        <w:numPr>
          <w:ilvl w:val="0"/>
          <w:numId w:val="7"/>
        </w:numPr>
        <w:tabs>
          <w:tab w:val="left" w:pos="2160"/>
          <w:tab w:val="clear" w:pos="720"/>
        </w:tabs>
        <w:ind w:left="1440"/>
      </w:pPr>
      <w:r>
        <w:t>Concealed wiring within walls</w:t>
      </w:r>
    </w:p>
    <w:p w14:paraId="6D7ECC53">
      <w:pPr>
        <w:pStyle w:val="48"/>
        <w:numPr>
          <w:ilvl w:val="0"/>
          <w:numId w:val="7"/>
        </w:numPr>
        <w:tabs>
          <w:tab w:val="left" w:pos="1440"/>
          <w:tab w:val="clear" w:pos="720"/>
        </w:tabs>
        <w:ind w:left="1440"/>
      </w:pPr>
      <w:r>
        <w:t>Inaccessible roof cavities</w:t>
      </w:r>
    </w:p>
    <w:p w14:paraId="02AF55FC">
      <w:pPr>
        <w:pStyle w:val="48"/>
        <w:numPr>
          <w:ilvl w:val="0"/>
          <w:numId w:val="7"/>
        </w:numPr>
        <w:tabs>
          <w:tab w:val="left" w:pos="1440"/>
          <w:tab w:val="clear" w:pos="720"/>
        </w:tabs>
        <w:ind w:left="1440"/>
      </w:pPr>
      <w:r>
        <w:t>Subfloor areas not safely reachable at time of inspection</w:t>
      </w:r>
    </w:p>
    <w:p w14:paraId="1B824392">
      <w:pPr>
        <w:pStyle w:val="52"/>
        <w:ind w:left="720"/>
      </w:pPr>
      <w:r>
        <w:t>These limitations are standard for non-invasive assessments</w:t>
      </w:r>
    </w:p>
    <w:p w14:paraId="6F66F328">
      <w:pPr>
        <w:pStyle w:val="52"/>
        <w:ind w:left="720"/>
      </w:pPr>
      <w:r>
        <w:t>and do not indicate any known defect.</w:t>
      </w:r>
    </w:p>
    <w:p w14:paraId="5B8B426F">
      <w:pPr>
        <w:ind w:left="720"/>
        <w:rPr>
          <w:rStyle w:val="49"/>
        </w:rPr>
      </w:pPr>
      <w:r>
        <w:rPr>
          <w:rStyle w:val="49"/>
        </w:rPr>
        <w:pict>
          <v:rect id="_x0000_i1027" o:spt="1" style="height:0.05pt;width:451.3pt;" fillcolor="#A0A0A0" filled="t" stroked="f" coordsize="21600,21600" o:hr="t" o:hrstd="t" o:hralign="center">
            <v:path/>
            <v:fill on="t" focussize="0,0"/>
            <v:stroke on="f"/>
            <v:imagedata o:title=""/>
            <o:lock v:ext="edit"/>
            <w10:wrap type="none"/>
            <w10:anchorlock/>
          </v:rect>
        </w:pict>
      </w:r>
    </w:p>
    <w:p w14:paraId="47D6C62A">
      <w:pPr>
        <w:pStyle w:val="4"/>
        <w:ind w:left="720"/>
        <w:rPr>
          <w:lang w:val="en-AU" w:eastAsia="zh-CN"/>
        </w:rPr>
      </w:pPr>
      <w:r>
        <w:t>Independence Statement</w:t>
      </w:r>
    </w:p>
    <w:p w14:paraId="7B3E2D25">
      <w:pPr>
        <w:pStyle w:val="55"/>
        <w:spacing w:line="240" w:lineRule="auto"/>
        <w:ind w:left="720"/>
        <w:jc w:val="left"/>
        <w:rPr>
          <w:rFonts w:hint="default" w:ascii="Times New Roman Regular" w:hAnsi="Times New Roman Regular" w:cs="Times New Roman Regular"/>
        </w:rPr>
      </w:pPr>
      <w:r>
        <w:rPr>
          <w:rStyle w:val="54"/>
          <w:rFonts w:hint="default" w:ascii="Times New Roman Regular" w:hAnsi="Times New Roman Regular" w:cs="Times New Roman Regular"/>
        </w:rPr>
        <w:t xml:space="preserve">This report is prepared </w:t>
      </w:r>
      <w:r>
        <w:rPr>
          <w:rFonts w:hint="default" w:ascii="Times New Roman Regular" w:hAnsi="Times New Roman Regular" w:cs="Times New Roman Regular"/>
          <w:b/>
          <w:bCs/>
        </w:rPr>
        <w:t>independently of any repair or upgrade proposal</w:t>
      </w:r>
      <w:r>
        <w:rPr>
          <w:rStyle w:val="54"/>
          <w:rFonts w:hint="default" w:ascii="Times New Roman Regular" w:hAnsi="Times New Roman Regular" w:cs="Times New Roman Regular"/>
        </w:rPr>
        <w:t>.</w:t>
      </w:r>
    </w:p>
    <w:p w14:paraId="7589A9E7">
      <w:pPr>
        <w:keepNext w:val="0"/>
        <w:keepLines w:val="0"/>
        <w:widowControl/>
        <w:suppressLineNumbers w:val="0"/>
        <w:spacing w:before="0" w:beforeAutospacing="0" w:after="0" w:afterAutospacing="0" w:line="240" w:lineRule="auto"/>
        <w:ind w:right="720"/>
        <w:jc w:val="left"/>
        <w:rPr>
          <w:rFonts w:hint="default" w:ascii="Times New Roman Bold Italic" w:hAnsi="Times New Roman Bold Italic" w:eastAsia=".AppleSystemUIFont" w:cs="Times New Roman Bold Italic"/>
          <w:b/>
          <w:bCs/>
          <w:color w:val="0E0E0E"/>
          <w:sz w:val="24"/>
          <w:szCs w:val="24"/>
          <w:lang w:val="en-US"/>
        </w:rPr>
      </w:pPr>
      <w:r>
        <w:rPr>
          <w:rFonts w:hint="default" w:ascii="Times New Roman Bold Italic" w:hAnsi="Times New Roman Bold Italic" w:eastAsia=".AppleSystemUIFont" w:cs="Times New Roman Bold Italic"/>
          <w:b/>
          <w:bCs/>
          <w:i/>
          <w:iCs/>
          <w:color w:val="808080" w:themeColor="text1" w:themeTint="80"/>
          <w:kern w:val="0"/>
          <w:sz w:val="24"/>
          <w:szCs w:val="24"/>
          <w:lang w:val="en-US" w:eastAsia="zh-CN" w:bidi="ar"/>
          <w14:textFill>
            <w14:solidFill>
              <w14:schemeClr w14:val="tx1">
                <w14:lumMod w14:val="50000"/>
                <w14:lumOff w14:val="50000"/>
              </w14:schemeClr>
            </w14:solidFill>
          </w14:textFill>
        </w:rPr>
        <w:t>Accordingly, no repair pricing or commercial quotations are included in this assessment.</w:t>
      </w:r>
    </w:p>
    <w:p w14:paraId="2D35B76A">
      <w:pPr>
        <w:pStyle w:val="13"/>
        <w:numPr>
          <w:ilvl w:val="0"/>
          <w:numId w:val="0"/>
        </w:numPr>
        <w:rPr>
          <w:lang w:val="en-AU" w:eastAsia="zh-CN"/>
        </w:rPr>
      </w:pPr>
    </w:p>
    <w:p w14:paraId="542EC577">
      <w:pPr>
        <w:pStyle w:val="3"/>
        <w:jc w:val="center"/>
      </w:pPr>
      <w:r>
        <w:t>Executive Summary</w:t>
      </w:r>
    </w:p>
    <w:p w14:paraId="1D954D02">
      <w:pPr>
        <w:pStyle w:val="4"/>
      </w:pPr>
      <w:r>
        <w:t>Overall Electrical Status</w:t>
      </w:r>
    </w:p>
    <w:p w14:paraId="2C1621A7">
      <w:r/>
    </w:p>
    <w:p w14:paraId="5DCEBF4E">
      <w:r/>
    </w:p>
    <w:p w14:paraId="1F9970D4">
      <w:pPr>
        <w:rPr>
          <w:rStyle w:val="49"/>
        </w:rPr>
      </w:pPr>
      <w:r>
        <w:rPr>
          <w:rStyle w:val="49"/>
        </w:rPr>
        <w:pict>
          <v:rect id="_x0000_i1028" o:spt="1" style="height:0.05pt;width:451.3pt;" fillcolor="#A0A0A0" filled="t" stroked="f" coordsize="21600,21600" o:hr="t" o:hrstd="t" o:hralign="center">
            <v:path/>
            <v:fill on="t" focussize="0,0"/>
            <v:stroke on="f"/>
            <v:imagedata o:title=""/>
            <o:lock v:ext="edit"/>
            <w10:wrap type="none"/>
            <w10:anchorlock/>
          </v:rect>
        </w:pict>
      </w:r>
    </w:p>
    <w:p w14:paraId="3780D8C0">
      <w:pPr>
        <w:pStyle w:val="4"/>
        <w:rPr>
          <w:lang w:val="en-AU" w:eastAsia="zh-CN"/>
        </w:rPr>
      </w:pPr>
      <w:r>
        <w:t>Priority Overview (Decision-Focused)</w:t>
      </w:r>
    </w:p>
    <w:tbl>
      <w:tblPr>
        <w:tblStyle w:val="19"/>
        <w:tblW w:w="1003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6"/>
        <w:gridCol w:w="4761"/>
        <w:gridCol w:w="3425"/>
      </w:tblGrid>
      <w:tr w14:paraId="2B91BD8B">
        <w:trPr>
          <w:trHeight w:val="367" w:hRule="atLeast"/>
          <w:tblHeader/>
          <w:tblCellSpacing w:w="15" w:type="dxa"/>
        </w:trPr>
        <w:tc>
          <w:tcPr>
            <w:tcW w:w="0" w:type="auto"/>
            <w:vAlign w:val="center"/>
          </w:tcPr>
          <w:p w14:paraId="415192EE">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Priority</w:t>
            </w:r>
          </w:p>
        </w:tc>
        <w:tc>
          <w:tcPr>
            <w:tcW w:w="0" w:type="auto"/>
            <w:vAlign w:val="center"/>
          </w:tcPr>
          <w:p w14:paraId="717E812F">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Description</w:t>
            </w:r>
          </w:p>
        </w:tc>
        <w:tc>
          <w:tcPr>
            <w:tcW w:w="0" w:type="auto"/>
            <w:vAlign w:val="center"/>
          </w:tcPr>
          <w:p w14:paraId="1D2EE84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Investor Interpretation</w:t>
            </w:r>
          </w:p>
        </w:tc>
      </w:tr>
      <w:tr w14:paraId="423FFA1B">
        <w:trPr>
          <w:trHeight w:val="435" w:hRule="atLeast"/>
          <w:tblCellSpacing w:w="15" w:type="dxa"/>
        </w:trPr>
        <w:tc>
          <w:tcPr>
            <w:tcW w:w="0" w:type="auto"/>
            <w:vAlign w:val="center"/>
          </w:tcPr>
          <w:p w14:paraId="1121377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Immediate</w:t>
            </w:r>
          </w:p>
        </w:tc>
        <w:tc>
          <w:tcPr>
            <w:tcW w:w="0" w:type="auto"/>
            <w:vAlign w:val="center"/>
          </w:tcPr>
          <w:p w14:paraId="425AA6E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immediate safety hazards</w:t>
            </w:r>
          </w:p>
        </w:tc>
        <w:tc>
          <w:tcPr>
            <w:tcW w:w="0" w:type="auto"/>
            <w:vAlign w:val="center"/>
          </w:tcPr>
          <w:p w14:paraId="2AC0D1D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urgent spend required</w:t>
            </w:r>
          </w:p>
        </w:tc>
      </w:tr>
      <w:tr w14:paraId="5F99CD24">
        <w:trPr>
          <w:trHeight w:val="435" w:hRule="atLeast"/>
          <w:tblCellSpacing w:w="15" w:type="dxa"/>
        </w:trPr>
        <w:tc>
          <w:tcPr>
            <w:tcW w:w="0" w:type="auto"/>
            <w:vAlign w:val="center"/>
          </w:tcPr>
          <w:p w14:paraId="2B6AAA1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Monitor</w:t>
            </w:r>
          </w:p>
        </w:tc>
        <w:tc>
          <w:tcPr>
            <w:tcW w:w="0" w:type="auto"/>
            <w:vAlign w:val="center"/>
          </w:tcPr>
          <w:p w14:paraId="360BE463">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Ageing components, legacy protection</w:t>
            </w:r>
          </w:p>
        </w:tc>
        <w:tc>
          <w:tcPr>
            <w:tcW w:w="0" w:type="auto"/>
            <w:vAlign w:val="center"/>
          </w:tcPr>
          <w:p w14:paraId="01456E0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Budget &amp; plan, no pressure</w:t>
            </w:r>
          </w:p>
        </w:tc>
      </w:tr>
      <w:tr w14:paraId="175D7E37">
        <w:trPr>
          <w:trHeight w:val="417" w:hRule="atLeast"/>
          <w:tblCellSpacing w:w="15" w:type="dxa"/>
        </w:trPr>
        <w:tc>
          <w:tcPr>
            <w:tcW w:w="0" w:type="auto"/>
            <w:vAlign w:val="center"/>
          </w:tcPr>
          <w:p w14:paraId="2A5FC170">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Acceptable</w:t>
            </w:r>
          </w:p>
        </w:tc>
        <w:tc>
          <w:tcPr>
            <w:tcW w:w="0" w:type="auto"/>
            <w:vAlign w:val="center"/>
          </w:tcPr>
          <w:p w14:paraId="368C9F15">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Functional circuits &amp; outlets</w:t>
            </w:r>
          </w:p>
        </w:tc>
        <w:tc>
          <w:tcPr>
            <w:tcW w:w="0" w:type="auto"/>
            <w:vAlign w:val="center"/>
          </w:tcPr>
          <w:p w14:paraId="4BBFC7B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action, no concern</w:t>
            </w:r>
          </w:p>
        </w:tc>
      </w:tr>
    </w:tbl>
    <w:p w14:paraId="157D72F1">
      <w:pPr>
        <w:jc w:val="right"/>
        <w:rPr>
          <w:rFonts w:ascii=".AppleSystemUIFont" w:hAnsi=".AppleSystemUIFont" w:eastAsia="Times New Roman" w:cs="Times New Roman"/>
          <w:i/>
          <w:iCs/>
          <w:color w:val="0E0E0E"/>
          <w:sz w:val="21"/>
          <w:szCs w:val="21"/>
          <w:lang w:val="en-AU" w:eastAsia="zh-CN"/>
        </w:rPr>
      </w:pPr>
    </w:p>
    <w:p w14:paraId="7D7ACF29">
      <w:pPr>
        <w:jc w:val="right"/>
        <w:rPr>
          <w:rFonts w:ascii=".AppleSystemUIFont" w:hAnsi=".AppleSystemUIFont" w:eastAsia="Times New Roman" w:cs="Times New Roman"/>
          <w:i/>
          <w:iCs/>
          <w:color w:val="0E0E0E"/>
          <w:sz w:val="21"/>
          <w:szCs w:val="21"/>
          <w:lang w:val="en-AU" w:eastAsia="zh-CN"/>
        </w:rPr>
      </w:pPr>
    </w:p>
    <w:p w14:paraId="3BE6AD6C">
      <w:pPr>
        <w:jc w:val="right"/>
        <w:rPr>
          <w:rFonts w:ascii=".AppleSystemUIFont" w:hAnsi=".AppleSystemUIFont" w:eastAsia="Times New Roman" w:cs="Times New Roman"/>
          <w:i/>
          <w:iCs/>
          <w:color w:val="0E0E0E"/>
          <w:sz w:val="21"/>
          <w:szCs w:val="21"/>
          <w:lang w:val="en-AU" w:eastAsia="zh-CN"/>
        </w:rPr>
      </w:pPr>
    </w:p>
    <w:p w14:paraId="1FBE4739">
      <w:pPr>
        <w:jc w:val="right"/>
      </w:pPr>
      <w:r>
        <w:rPr>
          <w:rFonts w:ascii=".AppleSystemUIFont" w:hAnsi=".AppleSystemUIFont" w:eastAsia="Times New Roman" w:cs="Times New Roman"/>
          <w:i/>
          <w:iCs/>
          <w:color w:val="0E0E0E"/>
          <w:sz w:val="21"/>
          <w:szCs w:val="21"/>
          <w:lang w:val="en-AU" w:eastAsia="zh-CN"/>
        </w:rPr>
        <w:t>This assessment is subject to the Terms &amp; Conditions outlined in this report.</w:t>
      </w:r>
    </w:p>
    <w:p w14:paraId="7C234C5C"/>
    <w:p w14:paraId="2A3AB1D0">
      <w:r>
        <w:br w:type="page"/>
      </w:r>
    </w:p>
    <w:p w14:paraId="498F2C2A">
      <w:pPr>
        <w:pStyle w:val="3"/>
        <w:jc w:val="center"/>
      </w:pPr>
      <w:r>
        <w:t>Overall Electrical Risk Rating</w:t>
      </w:r>
    </w:p>
    <w:p w14:paraId="0D4A186B">
      <w:pPr>
        <w:pStyle w:val="4"/>
        <w:rPr>
          <w:lang w:val="en-AU" w:eastAsia="zh-CN"/>
        </w:rPr>
      </w:pPr>
      <w:r>
        <w:t>Electrical Risk Classification Framework</w:t>
      </w:r>
    </w:p>
    <w:p w14:paraId="4579736F">
      <w:pPr>
        <w:pStyle w:val="52"/>
      </w:pPr>
    </w:p>
    <w:p w14:paraId="672660B3">
      <w:pPr>
        <w:pStyle w:val="52"/>
      </w:pPr>
      <w:r>
        <w:t>This assessment uses a three-tier risk classification framework</w:t>
      </w:r>
    </w:p>
    <w:p w14:paraId="46588E37">
      <w:pPr>
        <w:pStyle w:val="52"/>
      </w:pPr>
      <w:r>
        <w:t xml:space="preserve">designed specifically for </w:t>
      </w:r>
      <w:r>
        <w:rPr>
          <w:rStyle w:val="51"/>
          <w:b/>
          <w:bCs/>
        </w:rPr>
        <w:t>investment decision-making</w:t>
      </w:r>
      <w:r>
        <w:t>, not fault-finding.</w:t>
      </w:r>
    </w:p>
    <w:tbl>
      <w:tblPr>
        <w:tblStyle w:val="19"/>
        <w:tblW w:w="976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56"/>
        <w:gridCol w:w="8113"/>
      </w:tblGrid>
      <w:tr w14:paraId="3C254697">
        <w:trPr>
          <w:trHeight w:val="325" w:hRule="atLeast"/>
          <w:tblHeader/>
          <w:tblCellSpacing w:w="15" w:type="dxa"/>
        </w:trPr>
        <w:tc>
          <w:tcPr>
            <w:tcW w:w="0" w:type="auto"/>
            <w:vAlign w:val="center"/>
          </w:tcPr>
          <w:p w14:paraId="6138B49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Risk Level</w:t>
            </w:r>
          </w:p>
        </w:tc>
        <w:tc>
          <w:tcPr>
            <w:tcW w:w="0" w:type="auto"/>
            <w:vAlign w:val="center"/>
          </w:tcPr>
          <w:p w14:paraId="5774EFED">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Definition</w:t>
            </w:r>
          </w:p>
        </w:tc>
      </w:tr>
      <w:tr w14:paraId="60193AE3">
        <w:trPr>
          <w:trHeight w:val="385" w:hRule="atLeast"/>
          <w:tblCellSpacing w:w="15" w:type="dxa"/>
        </w:trPr>
        <w:tc>
          <w:tcPr>
            <w:tcW w:w="0" w:type="auto"/>
            <w:vAlign w:val="center"/>
          </w:tcPr>
          <w:p w14:paraId="7D11F37B">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Low</w:t>
            </w:r>
          </w:p>
        </w:tc>
        <w:tc>
          <w:tcPr>
            <w:tcW w:w="0" w:type="auto"/>
            <w:vAlign w:val="center"/>
          </w:tcPr>
          <w:p w14:paraId="34B6B3B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consistent with safe operation; no action recommended</w:t>
            </w:r>
          </w:p>
        </w:tc>
      </w:tr>
      <w:tr w14:paraId="6254BC52">
        <w:trPr>
          <w:trHeight w:val="385" w:hRule="atLeast"/>
          <w:tblCellSpacing w:w="15" w:type="dxa"/>
        </w:trPr>
        <w:tc>
          <w:tcPr>
            <w:tcW w:w="0" w:type="auto"/>
            <w:vAlign w:val="center"/>
          </w:tcPr>
          <w:p w14:paraId="42F4F446">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Moderate</w:t>
            </w:r>
          </w:p>
        </w:tc>
        <w:tc>
          <w:tcPr>
            <w:tcW w:w="0" w:type="auto"/>
            <w:vAlign w:val="center"/>
          </w:tcPr>
          <w:p w14:paraId="4A4C0B2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Acceptable condition with identifiable ageing or legacy factors</w:t>
            </w:r>
          </w:p>
        </w:tc>
      </w:tr>
      <w:tr w14:paraId="5AC78F41">
        <w:trPr>
          <w:trHeight w:val="370" w:hRule="atLeast"/>
          <w:tblCellSpacing w:w="15" w:type="dxa"/>
        </w:trPr>
        <w:tc>
          <w:tcPr>
            <w:tcW w:w="0" w:type="auto"/>
            <w:vAlign w:val="center"/>
          </w:tcPr>
          <w:p w14:paraId="67C977DE">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High</w:t>
            </w:r>
          </w:p>
        </w:tc>
        <w:tc>
          <w:tcPr>
            <w:tcW w:w="0" w:type="auto"/>
            <w:vAlign w:val="center"/>
          </w:tcPr>
          <w:p w14:paraId="370876EF">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presents elevated safety or failure risk</w:t>
            </w:r>
          </w:p>
        </w:tc>
      </w:tr>
    </w:tbl>
    <w:p w14:paraId="19D0950F">
      <w:pPr>
        <w:rPr>
          <w:rStyle w:val="49"/>
        </w:rPr>
      </w:pPr>
      <w:r>
        <w:rPr>
          <w:rStyle w:val="49"/>
        </w:rPr>
        <w:pict>
          <v:rect id="_x0000_i1029" o:spt="1" style="height:0.05pt;width:451.3pt;" fillcolor="#A0A0A0" filled="t" stroked="f" coordsize="21600,21600" o:hr="t" o:hrstd="t" o:hralign="center">
            <v:path/>
            <v:fill on="t" focussize="0,0"/>
            <v:stroke on="f"/>
            <v:imagedata o:title=""/>
            <o:lock v:ext="edit"/>
            <w10:wrap type="none"/>
            <w10:anchorlock/>
          </v:rect>
        </w:pict>
      </w:r>
    </w:p>
    <w:p w14:paraId="1A01C6B7">
      <w:pPr>
        <w:pStyle w:val="4"/>
      </w:pPr>
      <w:r/>
    </w:p>
    <w:p w14:paraId="188C2BE5">
      <w:pPr>
        <w:pStyle w:val="52"/>
      </w:pPr>
    </w:p>
    <w:p w14:paraId="51311141">
      <w:pPr>
        <w:pStyle w:val="52"/>
      </w:pPr>
      <w:r>
        <w:t>This rating reflects:</w:t>
      </w:r>
    </w:p>
    <w:p w14:paraId="43E7DFAF">
      <w:r/>
    </w:p>
    <w:p w14:paraId="64B88BE2">
      <w:pPr>
        <w:pStyle w:val="50"/>
      </w:pPr>
    </w:p>
    <w:p w14:paraId="1E310F1A">
      <w:pPr>
        <w:pStyle w:val="13"/>
        <w:numPr>
          <w:ilvl w:val="0"/>
          <w:numId w:val="0"/>
        </w:numPr>
        <w:rPr>
          <w:b/>
          <w:bCs/>
          <w:lang w:val="en-AU" w:eastAsia="zh-CN"/>
        </w:rPr>
      </w:pPr>
    </w:p>
    <w:p w14:paraId="5BDFEF1D">
      <w:pPr>
        <w:pStyle w:val="13"/>
        <w:numPr>
          <w:ilvl w:val="0"/>
          <w:numId w:val="0"/>
        </w:numPr>
        <w:rPr>
          <w:b/>
          <w:bCs/>
          <w:lang w:val="en-AU" w:eastAsia="zh-CN"/>
        </w:rPr>
      </w:pPr>
    </w:p>
    <w:p w14:paraId="4A747E96">
      <w:r>
        <w:br w:type="page"/>
      </w:r>
    </w:p>
    <w:p w14:paraId="56AE9C25">
      <w:pPr>
        <w:pStyle w:val="3"/>
        <w:jc w:val="center"/>
      </w:pPr>
      <w:r>
        <w:t>Immediate Attention Items</w:t>
      </w:r>
    </w:p>
    <w:p w14:paraId="03A90C0A">
      <w:pPr>
        <w:pStyle w:val="50"/>
      </w:pPr>
    </w:p>
    <w:p w14:paraId="40D9B82C">
      <w:pPr>
        <w:pStyle w:val="50"/>
      </w:pPr>
    </w:p>
    <w:p w14:paraId="442AE80F">
      <w:pPr>
        <w:pStyle w:val="50"/>
      </w:pPr>
    </w:p>
    <w:p w14:paraId="073F91E2">
      <w:pPr>
        <w:pStyle w:val="4"/>
      </w:pPr>
      <w:r>
        <w:rPr>
          <w:rFonts w:ascii="Apple Color Emoji" w:hAnsi="Apple Color Emoji" w:cs="Apple Color Emoji"/>
        </w:rPr>
        <w:t>🔴</w:t>
      </w:r>
      <w:r>
        <w:t xml:space="preserve"> Immediate Safety Risks</w:t>
      </w:r>
    </w:p>
    <w:p w14:paraId="2CCC520F">
      <w:pPr>
        <w:pStyle w:val="50"/>
      </w:pPr>
    </w:p>
    <w:p w14:paraId="20769E2B">
      <w:r/>
    </w:p>
    <w:p w14:paraId="07CBF80C">
      <w:pPr>
        <w:pStyle w:val="50"/>
      </w:pPr>
    </w:p>
    <w:p w14:paraId="248B8936">
      <w:pPr>
        <w:pStyle w:val="55"/>
      </w:pPr>
      <w:r>
        <w:t>Specifically, the assessment found:</w:t>
      </w:r>
    </w:p>
    <w:p w14:paraId="3A956847">
      <w:r/>
    </w:p>
    <w:p w14:paraId="24950A74">
      <w:pPr>
        <w:pStyle w:val="50"/>
      </w:pPr>
    </w:p>
    <w:p w14:paraId="13A04394">
      <w:pPr>
        <w:pStyle w:val="17"/>
        <w:keepNext w:val="0"/>
        <w:keepLines w:val="0"/>
        <w:widowControl/>
        <w:suppressLineNumbers w:val="0"/>
        <w:spacing w:before="0" w:beforeAutospacing="1" w:after="0" w:afterAutospacing="1"/>
        <w:ind w:left="0" w:right="0"/>
      </w:pPr>
      <w:r>
        <w:t xml:space="preserve">The absence of immediate risks does </w:t>
      </w:r>
      <w:r>
        <w:rPr>
          <w:rStyle w:val="49"/>
          <w:b/>
          <w:bCs/>
        </w:rPr>
        <w:t>not</w:t>
      </w:r>
      <w:r>
        <w:t xml:space="preserve"> preclude future degradation and should be reviewed periodically as part of responsible asset management.</w:t>
      </w:r>
    </w:p>
    <w:p w14:paraId="26801548">
      <w:pPr>
        <w:rPr>
          <w:lang w:eastAsia="zh-CN"/>
        </w:rPr>
      </w:pPr>
    </w:p>
    <w:p w14:paraId="6D937C16">
      <w:pPr>
        <w:rPr>
          <w:lang w:val="en-AU" w:eastAsia="zh-CN"/>
        </w:rPr>
      </w:pPr>
      <w:r>
        <w:rPr>
          <w:lang w:val="en-AU" w:eastAsia="zh-CN"/>
        </w:rPr>
        <w:br w:type="page"/>
      </w:r>
    </w:p>
    <w:p w14:paraId="04347F12">
      <w:pPr>
        <w:pStyle w:val="3"/>
        <w:jc w:val="center"/>
        <w:rPr>
          <w:lang w:val="en-AU"/>
        </w:rPr>
      </w:pPr>
      <w:r>
        <w:t>Monitoring &amp; Planned Action Items</w:t>
      </w:r>
    </w:p>
    <w:p w14:paraId="6CFB7D66">
      <w:pPr>
        <w:pStyle w:val="50"/>
      </w:pPr>
    </w:p>
    <w:p w14:paraId="3815F8EA">
      <w:pPr>
        <w:pStyle w:val="50"/>
      </w:pPr>
    </w:p>
    <w:p w14:paraId="0706A42D">
      <w:pPr>
        <w:pStyle w:val="4"/>
      </w:pPr>
      <w:r>
        <w:rPr>
          <w:rFonts w:ascii="Apple Color Emoji" w:hAnsi="Apple Color Emoji" w:cs="Apple Color Emoji"/>
        </w:rPr>
        <w:t>🟠</w:t>
      </w:r>
      <w:r>
        <w:t xml:space="preserve"> Items Requiring Monitoring or Planned Attention</w:t>
      </w:r>
    </w:p>
    <w:p w14:paraId="24D4F80A">
      <w:pPr>
        <w:pStyle w:val="50"/>
      </w:pPr>
    </w:p>
    <w:p w14:paraId="2255E197">
      <w:r/>
    </w:p>
    <w:p w14:paraId="6FA57994">
      <w:pPr>
        <w:pStyle w:val="50"/>
      </w:pPr>
    </w:p>
    <w:p w14:paraId="0D10ED6F">
      <w:pPr>
        <w:pStyle w:val="52"/>
      </w:pPr>
      <w:r>
        <w:rPr>
          <w:b/>
          <w:bCs/>
        </w:rPr>
        <w:t>Planning Guidance:</w:t>
      </w:r>
    </w:p>
    <w:p w14:paraId="5D717ADD">
      <w:pPr>
        <w:pStyle w:val="55"/>
      </w:pPr>
      <w:r>
        <w:t xml:space="preserve">Review condition within </w:t>
      </w:r>
      <w:r>
        <w:rPr>
          <w:rStyle w:val="51"/>
          <w:b/>
          <w:bCs/>
        </w:rPr>
        <w:t>12–24 months</w:t>
      </w:r>
      <w:r>
        <w:t>,</w:t>
      </w:r>
    </w:p>
    <w:p w14:paraId="65834B52">
      <w:pPr>
        <w:pStyle w:val="55"/>
      </w:pPr>
      <w:r>
        <w:t>or earlier if load demand increases (e.g. air conditioning upgrades).</w:t>
      </w:r>
    </w:p>
    <w:p w14:paraId="78ED7D39">
      <w:pPr>
        <w:rPr>
          <w:rStyle w:val="49"/>
        </w:rPr>
      </w:pPr>
      <w:r>
        <w:rPr>
          <w:rStyle w:val="49"/>
        </w:rPr>
        <w:pict>
          <v:rect id="_x0000_i1030" o:spt="1" style="height:0.05pt;width:451.3pt;" fillcolor="#A0A0A0" filled="t" stroked="f" coordsize="21600,21600" o:hr="t" o:hrstd="t" o:hralign="center">
            <v:path/>
            <v:fill on="t" focussize="0,0"/>
            <v:stroke on="f"/>
            <v:imagedata o:title=""/>
            <o:lock v:ext="edit"/>
            <w10:wrap type="none"/>
            <w10:anchorlock/>
          </v:rect>
        </w:pict>
      </w:r>
    </w:p>
    <w:p w14:paraId="49E9FE40">
      <w:pPr>
        <w:pStyle w:val="5"/>
      </w:pPr>
      <w:r>
        <w:t>2. Lighting Circuits – Absence of RCD Protection</w:t>
      </w:r>
    </w:p>
    <w:p w14:paraId="30CBB18C">
      <w:pPr>
        <w:pStyle w:val="48"/>
        <w:numPr>
          <w:ilvl w:val="0"/>
          <w:numId w:val="8"/>
        </w:numPr>
      </w:pPr>
      <w:r>
        <w:t>Acceptable under current usage patterns</w:t>
      </w:r>
    </w:p>
    <w:p w14:paraId="1167089A">
      <w:pPr>
        <w:pStyle w:val="48"/>
        <w:numPr>
          <w:ilvl w:val="0"/>
          <w:numId w:val="8"/>
        </w:numPr>
      </w:pPr>
      <w:r>
        <w:t>No immediate safety concern identified</w:t>
      </w:r>
    </w:p>
    <w:p w14:paraId="38C1AD06">
      <w:pPr>
        <w:pStyle w:val="50"/>
      </w:pPr>
    </w:p>
    <w:p w14:paraId="7917980B">
      <w:pPr>
        <w:pStyle w:val="52"/>
      </w:pPr>
      <w:r>
        <w:rPr>
          <w:b/>
          <w:bCs/>
        </w:rPr>
        <w:t>Planning Guidance:</w:t>
      </w:r>
    </w:p>
    <w:p w14:paraId="1930C82C">
      <w:pPr>
        <w:pStyle w:val="55"/>
      </w:pPr>
      <w:r>
        <w:t>Consider inclusion of RCD protection</w:t>
      </w:r>
    </w:p>
    <w:p w14:paraId="7F7C024B">
      <w:pPr>
        <w:pStyle w:val="55"/>
      </w:pPr>
      <w:r>
        <w:t>during future renovation or electrical upgrades.</w:t>
      </w:r>
    </w:p>
    <w:p w14:paraId="6AF8AA8D">
      <w:pPr>
        <w:pStyle w:val="13"/>
        <w:numPr>
          <w:ilvl w:val="0"/>
          <w:numId w:val="0"/>
        </w:numPr>
        <w:rPr>
          <w:lang w:val="en-AU" w:eastAsia="zh-CN"/>
        </w:rPr>
      </w:pPr>
    </w:p>
    <w:p w14:paraId="4906DC81">
      <w:pPr>
        <w:pStyle w:val="3"/>
        <w:jc w:val="center"/>
      </w:pPr>
      <w:r>
        <w:rPr>
          <w:lang w:val="en-AU" w:eastAsia="zh-CN"/>
        </w:rPr>
        <w:br w:type="page"/>
      </w:r>
      <w:r>
        <w:t>Items Not Requiring Action</w:t>
      </w:r>
    </w:p>
    <w:p w14:paraId="274623B2">
      <w:pPr>
        <w:pStyle w:val="50"/>
      </w:pPr>
    </w:p>
    <w:p w14:paraId="48D42D8B">
      <w:pPr>
        <w:pStyle w:val="4"/>
      </w:pPr>
      <w:r>
        <w:rPr>
          <w:rFonts w:ascii="Apple Color Emoji" w:hAnsi="Apple Color Emoji" w:cs="Apple Color Emoji"/>
        </w:rPr>
        <w:t>🟢</w:t>
      </w:r>
      <w:r>
        <w:t xml:space="preserve"> Items Not Requiring Action at This Time</w:t>
      </w:r>
    </w:p>
    <w:p w14:paraId="0EE40B16">
      <w:pPr>
        <w:pStyle w:val="50"/>
      </w:pPr>
    </w:p>
    <w:p w14:paraId="11337BEF">
      <w:pPr>
        <w:pStyle w:val="52"/>
      </w:pPr>
      <w:r>
        <w:t>The following components were assessed</w:t>
      </w:r>
      <w:r>
        <w:rPr>
          <w:rFonts w:hint="default"/>
          <w:lang w:val="en-US"/>
        </w:rPr>
        <w:t xml:space="preserve"> </w:t>
      </w:r>
      <w:bookmarkStart w:id="0" w:name="_GoBack"/>
      <w:bookmarkEnd w:id="0"/>
      <w:r>
        <w:t>and found to be operating within acceptable parameters:</w:t>
      </w:r>
    </w:p>
    <w:p w14:paraId="041E56EB">
      <w:r/>
    </w:p>
    <w:p w14:paraId="3E40AE57">
      <w:pPr>
        <w:pStyle w:val="50"/>
      </w:pPr>
    </w:p>
    <w:p w14:paraId="5C418D7E">
      <w:pPr>
        <w:rPr>
          <w:rFonts w:ascii="Helvetica Neue" w:hAnsi="Helvetica Neue"/>
          <w:color w:val="0E0E0E"/>
          <w:sz w:val="21"/>
          <w:szCs w:val="21"/>
        </w:rPr>
      </w:pPr>
      <w:r>
        <w:rPr>
          <w:rFonts w:ascii="Helvetica Neue" w:hAnsi="Helvetica Neue"/>
          <w:b/>
          <w:bCs/>
          <w:color w:val="0E0E0E"/>
          <w:sz w:val="21"/>
          <w:szCs w:val="21"/>
        </w:rPr>
        <w:t>No action is recommended</w:t>
      </w:r>
      <w:r>
        <w:rPr>
          <w:rStyle w:val="51"/>
          <w:rFonts w:ascii="Helvetica Neue" w:hAnsi="Helvetica Neue"/>
          <w:color w:val="0E0E0E"/>
          <w:sz w:val="21"/>
          <w:szCs w:val="21"/>
        </w:rPr>
        <w:t xml:space="preserve"> for the above items</w:t>
      </w:r>
    </w:p>
    <w:p w14:paraId="59DE1115">
      <w:pPr>
        <w:rPr>
          <w:rFonts w:ascii=".AppleSystemUIFont" w:hAnsi=".AppleSystemUIFont"/>
          <w:color w:val="0E0E0E"/>
          <w:sz w:val="21"/>
          <w:szCs w:val="21"/>
        </w:rPr>
      </w:pPr>
      <w:r>
        <w:rPr>
          <w:rFonts w:ascii=".AppleSystemUIFont" w:hAnsi=".AppleSystemUIFont"/>
          <w:color w:val="0E0E0E"/>
          <w:sz w:val="21"/>
          <w:szCs w:val="21"/>
        </w:rPr>
        <w:t>based on current observations.</w:t>
      </w:r>
    </w:p>
    <w:p w14:paraId="49EB2FFC">
      <w:pPr>
        <w:rPr>
          <w:lang w:val="en-AU" w:eastAsia="zh-CN"/>
        </w:rPr>
      </w:pPr>
    </w:p>
    <w:p w14:paraId="3252293A">
      <w:pPr>
        <w:rPr>
          <w:lang w:val="en-AU" w:eastAsia="zh-CN"/>
        </w:rPr>
      </w:pPr>
      <w:r>
        <w:rPr>
          <w:lang w:val="en-AU" w:eastAsia="zh-CN"/>
        </w:rPr>
        <w:br w:type="page"/>
      </w:r>
    </w:p>
    <w:p w14:paraId="3B65B8DD">
      <w:pPr>
        <w:pStyle w:val="3"/>
        <w:jc w:val="center"/>
        <w:rPr>
          <w:lang w:val="en-AU"/>
        </w:rPr>
      </w:pPr>
      <w:r>
        <w:t>General Observations &amp; Context</w:t>
      </w:r>
    </w:p>
    <w:p w14:paraId="4871D585">
      <w:pPr>
        <w:pStyle w:val="50"/>
      </w:pPr>
    </w:p>
    <w:p w14:paraId="52192F73">
      <w:pPr>
        <w:pStyle w:val="4"/>
      </w:pPr>
      <w:r>
        <w:t>Installation Context</w:t>
      </w:r>
    </w:p>
    <w:p w14:paraId="0AEB2419">
      <w:pPr>
        <w:pStyle w:val="48"/>
        <w:numPr>
          <w:ilvl w:val="0"/>
          <w:numId w:val="9"/>
        </w:numPr>
      </w:pPr>
      <w:r>
        <w:t>Electrical installation appears consistent with the construction and renovation era of the property</w:t>
      </w:r>
    </w:p>
    <w:p w14:paraId="79D49A69">
      <w:pPr>
        <w:pStyle w:val="48"/>
        <w:numPr>
          <w:ilvl w:val="0"/>
          <w:numId w:val="9"/>
        </w:numPr>
      </w:pPr>
      <w:r>
        <w:t>Partial upgrades suggest staged improvements over time</w:t>
      </w:r>
    </w:p>
    <w:p w14:paraId="6C34AB59">
      <w:pPr>
        <w:pStyle w:val="48"/>
        <w:numPr>
          <w:ilvl w:val="0"/>
          <w:numId w:val="9"/>
        </w:numPr>
      </w:pPr>
      <w:r>
        <w:t>No evidence of unsafe owner-performed modifications observed</w:t>
      </w:r>
    </w:p>
    <w:p w14:paraId="3B9E6341">
      <w:pPr>
        <w:rPr>
          <w:rStyle w:val="49"/>
        </w:rPr>
      </w:pPr>
      <w:r>
        <w:rPr>
          <w:rStyle w:val="49"/>
        </w:rPr>
        <w:pict>
          <v:rect id="_x0000_i1031" o:spt="1" style="height:0.05pt;width:451.3pt;" fillcolor="#A0A0A0" filled="t" stroked="f" coordsize="21600,21600" o:hr="t" o:hrstd="t" o:hralign="center">
            <v:path/>
            <v:fill on="t" focussize="0,0"/>
            <v:stroke on="f"/>
            <v:imagedata o:title=""/>
            <o:lock v:ext="edit"/>
            <w10:wrap type="none"/>
            <w10:anchorlock/>
          </v:rect>
        </w:pict>
      </w:r>
    </w:p>
    <w:p w14:paraId="46527A12">
      <w:pPr>
        <w:pStyle w:val="4"/>
      </w:pPr>
      <w:r>
        <w:t>Operational Context</w:t>
      </w:r>
    </w:p>
    <w:p w14:paraId="6521ECFD">
      <w:pPr>
        <w:pStyle w:val="48"/>
        <w:numPr>
          <w:ilvl w:val="0"/>
          <w:numId w:val="10"/>
        </w:numPr>
      </w:pPr>
      <w:r>
        <w:t>Electrical demand appears aligned with current occupancy profile</w:t>
      </w:r>
    </w:p>
    <w:p w14:paraId="618D87B1">
      <w:pPr>
        <w:pStyle w:val="48"/>
        <w:numPr>
          <w:ilvl w:val="0"/>
          <w:numId w:val="10"/>
        </w:numPr>
      </w:pPr>
      <w:r>
        <w:t>No abnormal load behaviour noted during inspection</w:t>
      </w:r>
    </w:p>
    <w:p w14:paraId="0D9B6CB7">
      <w:pPr>
        <w:pStyle w:val="50"/>
      </w:pPr>
    </w:p>
    <w:p w14:paraId="1EA67309">
      <w:pPr>
        <w:pStyle w:val="52"/>
      </w:pPr>
      <w:r>
        <w:t>These contextual observations support the overall risk rating</w:t>
      </w:r>
    </w:p>
    <w:p w14:paraId="7297EFD7">
      <w:pPr>
        <w:pStyle w:val="52"/>
      </w:pPr>
      <w:r>
        <w:t>and planning recommendations provided.</w:t>
      </w:r>
    </w:p>
    <w:p w14:paraId="025FDC31">
      <w:pPr>
        <w:pStyle w:val="13"/>
        <w:numPr>
          <w:ilvl w:val="0"/>
          <w:numId w:val="0"/>
        </w:numPr>
        <w:rPr>
          <w:lang w:val="en-AU" w:eastAsia="zh-CN"/>
        </w:rPr>
      </w:pPr>
    </w:p>
    <w:p w14:paraId="0D73D6C0">
      <w:pPr>
        <w:rPr>
          <w:lang w:val="en-AU" w:eastAsia="zh-CN"/>
        </w:rPr>
      </w:pPr>
      <w:r>
        <w:rPr>
          <w:lang w:val="en-AU" w:eastAsia="zh-CN"/>
        </w:rPr>
        <w:br w:type="page"/>
      </w:r>
    </w:p>
    <w:p w14:paraId="0C829F60">
      <w:pPr>
        <w:pStyle w:val="3"/>
        <w:bidi w:val="0"/>
      </w:pPr>
      <w:r>
        <w:rPr>
          <w:rStyle w:val="49"/>
          <w:b/>
          <w:bCs/>
        </w:rPr>
        <w:t>Capital Planning &amp; Budget Considerations (0–5 Years)</w:t>
      </w:r>
    </w:p>
    <w:p w14:paraId="0578CC0A">
      <w:pPr>
        <w:pStyle w:val="50"/>
      </w:pPr>
    </w:p>
    <w:p w14:paraId="068ED14D">
      <w:pPr>
        <w:pStyle w:val="4"/>
        <w:bidi w:val="0"/>
      </w:pPr>
      <w:r>
        <w:t xml:space="preserve">The following table provides </w:t>
      </w:r>
      <w:r>
        <w:rPr>
          <w:rStyle w:val="49"/>
          <w:b/>
          <w:bCs/>
        </w:rPr>
        <w:t>indicative market benchmarks</w:t>
      </w:r>
      <w:r>
        <w:t xml:space="preserve"> to support budgeting and financial planning:</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21"/>
        <w:gridCol w:w="2081"/>
        <w:gridCol w:w="1000"/>
        <w:gridCol w:w="1988"/>
        <w:gridCol w:w="2828"/>
      </w:tblGrid>
      <w:tr w14:paraId="73561A12">
        <w:trPr>
          <w:tblHeader/>
          <w:tblCellSpacing w:w="15" w:type="dxa"/>
        </w:trPr>
        <w:tc>
          <w:tcPr>
            <w:tcW w:w="2176" w:type="dxa"/>
            <w:shd w:val="clear" w:color="auto" w:fill="auto"/>
            <w:vAlign w:val="center"/>
          </w:tcPr>
          <w:p w14:paraId="597E0D43">
            <w:pPr>
              <w:pStyle w:val="17"/>
              <w:keepNext w:val="0"/>
              <w:keepLines w:val="0"/>
              <w:widowControl/>
              <w:suppressLineNumbers w:val="0"/>
              <w:spacing w:before="0" w:beforeAutospacing="1" w:after="0" w:afterAutospacing="1"/>
              <w:ind w:left="0" w:right="0"/>
              <w:jc w:val="center"/>
            </w:pPr>
            <w:r>
              <w:rPr>
                <w:b/>
                <w:bCs/>
              </w:rPr>
              <w:t>Asset Item</w:t>
            </w:r>
          </w:p>
        </w:tc>
        <w:tc>
          <w:tcPr>
            <w:tcW w:w="2051" w:type="dxa"/>
            <w:shd w:val="clear" w:color="auto" w:fill="auto"/>
            <w:vAlign w:val="center"/>
          </w:tcPr>
          <w:p w14:paraId="3AFA7734">
            <w:pPr>
              <w:pStyle w:val="17"/>
              <w:keepNext w:val="0"/>
              <w:keepLines w:val="0"/>
              <w:widowControl/>
              <w:suppressLineNumbers w:val="0"/>
              <w:spacing w:before="0" w:beforeAutospacing="1" w:after="0" w:afterAutospacing="1"/>
              <w:ind w:left="0" w:right="0"/>
              <w:jc w:val="center"/>
            </w:pPr>
            <w:r>
              <w:rPr>
                <w:b/>
                <w:bCs/>
              </w:rPr>
              <w:t>Condition</w:t>
            </w:r>
          </w:p>
        </w:tc>
        <w:tc>
          <w:tcPr>
            <w:tcW w:w="970" w:type="dxa"/>
            <w:shd w:val="clear" w:color="auto" w:fill="auto"/>
            <w:vAlign w:val="center"/>
          </w:tcPr>
          <w:p w14:paraId="70BB2D90">
            <w:pPr>
              <w:pStyle w:val="17"/>
              <w:keepNext w:val="0"/>
              <w:keepLines w:val="0"/>
              <w:widowControl/>
              <w:suppressLineNumbers w:val="0"/>
              <w:spacing w:before="0" w:beforeAutospacing="1" w:after="0" w:afterAutospacing="1"/>
              <w:ind w:left="0" w:right="0"/>
              <w:jc w:val="center"/>
            </w:pPr>
            <w:r>
              <w:rPr>
                <w:b/>
                <w:bCs/>
              </w:rPr>
              <w:t>Priority</w:t>
            </w:r>
          </w:p>
        </w:tc>
        <w:tc>
          <w:tcPr>
            <w:tcW w:w="1958" w:type="dxa"/>
            <w:shd w:val="clear" w:color="auto" w:fill="auto"/>
            <w:vAlign w:val="center"/>
          </w:tcPr>
          <w:p w14:paraId="7E110BF0">
            <w:pPr>
              <w:pStyle w:val="17"/>
              <w:keepNext w:val="0"/>
              <w:keepLines w:val="0"/>
              <w:widowControl/>
              <w:suppressLineNumbers w:val="0"/>
              <w:spacing w:before="0" w:beforeAutospacing="1" w:after="0" w:afterAutospacing="1"/>
              <w:ind w:left="0" w:right="0"/>
              <w:jc w:val="center"/>
            </w:pPr>
            <w:r>
              <w:rPr>
                <w:b/>
                <w:bCs/>
              </w:rPr>
              <w:t>Planning Horizon</w:t>
            </w:r>
          </w:p>
        </w:tc>
        <w:tc>
          <w:tcPr>
            <w:tcW w:w="2783" w:type="dxa"/>
            <w:shd w:val="clear" w:color="auto" w:fill="auto"/>
            <w:vAlign w:val="center"/>
          </w:tcPr>
          <w:p w14:paraId="0BDA2AB1">
            <w:pPr>
              <w:pStyle w:val="17"/>
              <w:keepNext w:val="0"/>
              <w:keepLines w:val="0"/>
              <w:widowControl/>
              <w:suppressLineNumbers w:val="0"/>
              <w:spacing w:before="0" w:beforeAutospacing="1" w:after="0" w:afterAutospacing="1"/>
              <w:ind w:left="0" w:right="0"/>
              <w:jc w:val="center"/>
            </w:pPr>
            <w:r>
              <w:rPr>
                <w:b/>
                <w:bCs/>
              </w:rPr>
              <w:t>Budgetary Estimate</w:t>
            </w:r>
          </w:p>
        </w:tc>
      </w:tr>
      <w:tr w14:paraId="05133296">
        <w:trPr>
          <w:tblCellSpacing w:w="15" w:type="dxa"/>
        </w:trPr>
        <w:tc>
          <w:tcPr>
            <w:tcW w:w="2176" w:type="dxa"/>
            <w:shd w:val="clear" w:color="auto" w:fill="auto"/>
            <w:vAlign w:val="center"/>
          </w:tcPr>
          <w:p w14:paraId="5E8C1468">
            <w:pPr>
              <w:pStyle w:val="17"/>
              <w:keepNext w:val="0"/>
              <w:keepLines w:val="0"/>
              <w:widowControl/>
              <w:suppressLineNumbers w:val="0"/>
              <w:spacing w:before="0" w:beforeAutospacing="1" w:after="0" w:afterAutospacing="1"/>
              <w:ind w:left="0" w:right="0"/>
            </w:pPr>
            <w:r>
              <w:t>Main Switchboard</w:t>
            </w:r>
          </w:p>
        </w:tc>
        <w:tc>
          <w:tcPr>
            <w:tcW w:w="2051" w:type="dxa"/>
            <w:shd w:val="clear" w:color="auto" w:fill="auto"/>
            <w:vAlign w:val="center"/>
          </w:tcPr>
          <w:p w14:paraId="2542B793">
            <w:pPr>
              <w:pStyle w:val="17"/>
              <w:keepNext w:val="0"/>
              <w:keepLines w:val="0"/>
              <w:widowControl/>
              <w:suppressLineNumbers w:val="0"/>
              <w:spacing w:before="0" w:beforeAutospacing="1" w:after="0" w:afterAutospacing="1"/>
              <w:ind w:left="0" w:right="0"/>
            </w:pPr>
            <w:r>
              <w:t>Aged configuration</w:t>
            </w:r>
          </w:p>
        </w:tc>
        <w:tc>
          <w:tcPr>
            <w:tcW w:w="970" w:type="dxa"/>
            <w:shd w:val="clear" w:color="auto" w:fill="auto"/>
            <w:vAlign w:val="center"/>
          </w:tcPr>
          <w:p w14:paraId="7E034CDB">
            <w:pPr>
              <w:pStyle w:val="17"/>
              <w:keepNext w:val="0"/>
              <w:keepLines w:val="0"/>
              <w:widowControl/>
              <w:suppressLineNumbers w:val="0"/>
              <w:spacing w:before="0" w:beforeAutospacing="1" w:after="0" w:afterAutospacing="1"/>
              <w:ind w:left="0" w:right="0"/>
            </w:pPr>
            <w:r>
              <w:t>Medium</w:t>
            </w:r>
          </w:p>
        </w:tc>
        <w:tc>
          <w:tcPr>
            <w:tcW w:w="1958" w:type="dxa"/>
            <w:shd w:val="clear" w:color="auto" w:fill="auto"/>
            <w:vAlign w:val="center"/>
          </w:tcPr>
          <w:p w14:paraId="0E9C7D8C">
            <w:pPr>
              <w:pStyle w:val="17"/>
              <w:keepNext w:val="0"/>
              <w:keepLines w:val="0"/>
              <w:widowControl/>
              <w:suppressLineNumbers w:val="0"/>
              <w:spacing w:before="0" w:beforeAutospacing="1" w:after="0" w:afterAutospacing="1"/>
              <w:ind w:left="0" w:right="0"/>
            </w:pPr>
            <w:r>
              <w:t>12–24 months</w:t>
            </w:r>
          </w:p>
        </w:tc>
        <w:tc>
          <w:tcPr>
            <w:tcW w:w="2783" w:type="dxa"/>
            <w:shd w:val="clear" w:color="auto" w:fill="auto"/>
            <w:vAlign w:val="center"/>
          </w:tcPr>
          <w:p w14:paraId="3ECF496C">
            <w:pPr>
              <w:pStyle w:val="17"/>
              <w:keepNext w:val="0"/>
              <w:keepLines w:val="0"/>
              <w:widowControl/>
              <w:suppressLineNumbers w:val="0"/>
              <w:spacing w:before="0" w:beforeAutospacing="1" w:after="0" w:afterAutospacing="1"/>
              <w:ind w:left="0" w:right="0"/>
            </w:pPr>
            <w:r>
              <w:t>$1,800 – $2,500</w:t>
            </w:r>
          </w:p>
        </w:tc>
      </w:tr>
      <w:tr w14:paraId="4926C07C">
        <w:trPr>
          <w:tblCellSpacing w:w="15" w:type="dxa"/>
        </w:trPr>
        <w:tc>
          <w:tcPr>
            <w:tcW w:w="2176" w:type="dxa"/>
            <w:shd w:val="clear" w:color="auto" w:fill="auto"/>
            <w:vAlign w:val="center"/>
          </w:tcPr>
          <w:p w14:paraId="1BDD2684">
            <w:pPr>
              <w:pStyle w:val="17"/>
              <w:keepNext w:val="0"/>
              <w:keepLines w:val="0"/>
              <w:widowControl/>
              <w:suppressLineNumbers w:val="0"/>
              <w:spacing w:before="0" w:beforeAutospacing="1" w:after="0" w:afterAutospacing="1"/>
              <w:ind w:left="0" w:right="0"/>
            </w:pPr>
            <w:r>
              <w:t>Smoke Alarms</w:t>
            </w:r>
          </w:p>
        </w:tc>
        <w:tc>
          <w:tcPr>
            <w:tcW w:w="2051" w:type="dxa"/>
            <w:shd w:val="clear" w:color="auto" w:fill="auto"/>
            <w:vAlign w:val="center"/>
          </w:tcPr>
          <w:p w14:paraId="2C8E080E">
            <w:pPr>
              <w:pStyle w:val="17"/>
              <w:keepNext w:val="0"/>
              <w:keepLines w:val="0"/>
              <w:widowControl/>
              <w:suppressLineNumbers w:val="0"/>
              <w:spacing w:before="0" w:beforeAutospacing="1" w:after="0" w:afterAutospacing="1"/>
              <w:ind w:left="0" w:right="0"/>
            </w:pPr>
            <w:r>
              <w:t>Functional, ageing</w:t>
            </w:r>
          </w:p>
        </w:tc>
        <w:tc>
          <w:tcPr>
            <w:tcW w:w="970" w:type="dxa"/>
            <w:shd w:val="clear" w:color="auto" w:fill="auto"/>
            <w:vAlign w:val="center"/>
          </w:tcPr>
          <w:p w14:paraId="73665E6B">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C7474AC">
            <w:pPr>
              <w:pStyle w:val="17"/>
              <w:keepNext w:val="0"/>
              <w:keepLines w:val="0"/>
              <w:widowControl/>
              <w:suppressLineNumbers w:val="0"/>
              <w:spacing w:before="0" w:beforeAutospacing="1" w:after="0" w:afterAutospacing="1"/>
              <w:ind w:left="0" w:right="0"/>
            </w:pPr>
            <w:r>
              <w:t>24 months</w:t>
            </w:r>
          </w:p>
        </w:tc>
        <w:tc>
          <w:tcPr>
            <w:tcW w:w="2783" w:type="dxa"/>
            <w:shd w:val="clear" w:color="auto" w:fill="auto"/>
            <w:vAlign w:val="center"/>
          </w:tcPr>
          <w:p w14:paraId="2DC5D4DD">
            <w:pPr>
              <w:pStyle w:val="17"/>
              <w:keepNext w:val="0"/>
              <w:keepLines w:val="0"/>
              <w:widowControl/>
              <w:suppressLineNumbers w:val="0"/>
              <w:spacing w:before="0" w:beforeAutospacing="1" w:after="0" w:afterAutospacing="1"/>
              <w:ind w:left="0" w:right="0"/>
            </w:pPr>
            <w:r>
              <w:t>$350 – $450</w:t>
            </w:r>
          </w:p>
        </w:tc>
      </w:tr>
      <w:tr w14:paraId="4220D004">
        <w:trPr>
          <w:trHeight w:val="512" w:hRule="atLeast"/>
          <w:tblCellSpacing w:w="15" w:type="dxa"/>
        </w:trPr>
        <w:tc>
          <w:tcPr>
            <w:tcW w:w="2176" w:type="dxa"/>
            <w:shd w:val="clear" w:color="auto" w:fill="auto"/>
            <w:vAlign w:val="center"/>
          </w:tcPr>
          <w:p w14:paraId="2ACDDED4">
            <w:pPr>
              <w:pStyle w:val="17"/>
              <w:keepNext w:val="0"/>
              <w:keepLines w:val="0"/>
              <w:widowControl/>
              <w:suppressLineNumbers w:val="0"/>
              <w:spacing w:before="0" w:beforeAutospacing="1" w:after="0" w:afterAutospacing="1"/>
              <w:ind w:left="0" w:right="0"/>
            </w:pPr>
            <w:r>
              <w:t>Selected Circuits</w:t>
            </w:r>
          </w:p>
        </w:tc>
        <w:tc>
          <w:tcPr>
            <w:tcW w:w="2051" w:type="dxa"/>
            <w:shd w:val="clear" w:color="auto" w:fill="auto"/>
            <w:vAlign w:val="center"/>
          </w:tcPr>
          <w:p w14:paraId="734A318B">
            <w:pPr>
              <w:pStyle w:val="17"/>
              <w:keepNext w:val="0"/>
              <w:keepLines w:val="0"/>
              <w:widowControl/>
              <w:suppressLineNumbers w:val="0"/>
              <w:spacing w:before="0" w:beforeAutospacing="1" w:after="0" w:afterAutospacing="1"/>
              <w:ind w:left="0" w:right="0"/>
            </w:pPr>
            <w:r>
              <w:t>No RCD protection</w:t>
            </w:r>
          </w:p>
        </w:tc>
        <w:tc>
          <w:tcPr>
            <w:tcW w:w="970" w:type="dxa"/>
            <w:shd w:val="clear" w:color="auto" w:fill="auto"/>
            <w:vAlign w:val="center"/>
          </w:tcPr>
          <w:p w14:paraId="52D7694C">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F9982FA">
            <w:pPr>
              <w:pStyle w:val="17"/>
              <w:keepNext w:val="0"/>
              <w:keepLines w:val="0"/>
              <w:widowControl/>
              <w:suppressLineNumbers w:val="0"/>
              <w:spacing w:before="0" w:beforeAutospacing="1" w:after="0" w:afterAutospacing="1"/>
              <w:ind w:left="0" w:right="0"/>
            </w:pPr>
            <w:r>
              <w:t>Next renovation</w:t>
            </w:r>
          </w:p>
        </w:tc>
        <w:tc>
          <w:tcPr>
            <w:tcW w:w="2783" w:type="dxa"/>
            <w:shd w:val="clear" w:color="auto" w:fill="auto"/>
            <w:vAlign w:val="center"/>
          </w:tcPr>
          <w:p w14:paraId="558A0D19">
            <w:pPr>
              <w:pStyle w:val="17"/>
              <w:keepNext w:val="0"/>
              <w:keepLines w:val="0"/>
              <w:widowControl/>
              <w:suppressLineNumbers w:val="0"/>
              <w:spacing w:before="0" w:beforeAutospacing="1" w:after="0" w:afterAutospacing="1"/>
              <w:ind w:left="0" w:right="0"/>
            </w:pPr>
            <w:r>
              <w:t>$600 – $900</w:t>
            </w:r>
          </w:p>
        </w:tc>
      </w:tr>
    </w:tbl>
    <w:p w14:paraId="71CF64FC"/>
    <w:p w14:paraId="376E0BCC">
      <w:pPr>
        <w:pStyle w:val="48"/>
        <w:numPr>
          <w:ilvl w:val="0"/>
          <w:numId w:val="11"/>
        </w:numPr>
      </w:pPr>
      <w:r>
        <w:t>No immediate rectification required</w:t>
      </w:r>
    </w:p>
    <w:p w14:paraId="13C75393">
      <w:pPr>
        <w:pStyle w:val="48"/>
        <w:numPr>
          <w:ilvl w:val="0"/>
          <w:numId w:val="11"/>
        </w:numPr>
      </w:pPr>
      <w:r>
        <w:t>Monitor identified ageing components</w:t>
      </w:r>
    </w:p>
    <w:p w14:paraId="60DDE64C">
      <w:pPr>
        <w:pStyle w:val="48"/>
        <w:numPr>
          <w:ilvl w:val="0"/>
          <w:numId w:val="11"/>
        </w:numPr>
      </w:pPr>
      <w:r>
        <w:t>Reassess electrical condition periodically</w:t>
      </w:r>
    </w:p>
    <w:p w14:paraId="3BD8DEC8">
      <w:pPr>
        <w:pStyle w:val="50"/>
      </w:pPr>
    </w:p>
    <w:p w14:paraId="6A14B288">
      <w:pPr>
        <w:pStyle w:val="17"/>
        <w:keepNext w:val="0"/>
        <w:keepLines w:val="0"/>
        <w:widowControl/>
        <w:suppressLineNumbers w:val="0"/>
        <w:spacing w:before="0" w:beforeAutospacing="1" w:after="0" w:afterAutospacing="1"/>
        <w:ind w:left="0" w:right="0"/>
      </w:pPr>
      <w:r>
        <w:rPr>
          <w:b/>
          <w:bCs/>
        </w:rPr>
        <w:t>Important:</w:t>
      </w:r>
    </w:p>
    <w:p w14:paraId="3D5253B8">
      <w:pPr>
        <w:pStyle w:val="17"/>
        <w:keepNext w:val="0"/>
        <w:keepLines w:val="0"/>
        <w:widowControl/>
        <w:suppressLineNumbers w:val="0"/>
        <w:spacing w:before="0" w:beforeAutospacing="1" w:after="0" w:afterAutospacing="1"/>
        <w:ind w:left="0" w:right="0"/>
      </w:pPr>
      <w:r>
        <w:t xml:space="preserve">These figures are </w:t>
      </w:r>
      <w:r>
        <w:rPr>
          <w:rStyle w:val="49"/>
          <w:b/>
          <w:bCs/>
        </w:rPr>
        <w:t>indicative budgetary estimates only</w:t>
      </w:r>
      <w:r>
        <w:t xml:space="preserve"> and do not constitute quotations or fixed pricing.</w:t>
      </w:r>
    </w:p>
    <w:p w14:paraId="1D8386AC">
      <w:pPr>
        <w:pStyle w:val="17"/>
        <w:keepNext w:val="0"/>
        <w:keepLines w:val="0"/>
        <w:widowControl/>
        <w:suppressLineNumbers w:val="0"/>
        <w:spacing w:before="0" w:beforeAutospacing="1" w:after="0" w:afterAutospacing="1"/>
        <w:ind w:left="0" w:right="0"/>
      </w:pPr>
      <w:r>
        <w:t>They are provided to assist financial planning, not to prescribe scope or contractor selection.</w:t>
      </w:r>
    </w:p>
    <w:p w14:paraId="1A63F06E">
      <w:pPr>
        <w:pStyle w:val="50"/>
      </w:pPr>
    </w:p>
    <w:p w14:paraId="5CF11F7C">
      <w:pPr>
        <w:pStyle w:val="50"/>
      </w:pPr>
    </w:p>
    <w:p w14:paraId="3F21F7A1">
      <w:pPr>
        <w:pStyle w:val="50"/>
      </w:pPr>
    </w:p>
    <w:p w14:paraId="5F5FEF14">
      <w:pPr>
        <w:pStyle w:val="50"/>
      </w:pPr>
    </w:p>
    <w:p w14:paraId="00ED545D">
      <w:pPr>
        <w:rPr>
          <w:lang w:val="en-AU" w:eastAsia="zh-CN"/>
        </w:rPr>
      </w:pPr>
      <w:r>
        <w:rPr>
          <w:lang w:val="en-AU" w:eastAsia="zh-CN"/>
        </w:rPr>
        <w:br w:type="page"/>
      </w:r>
    </w:p>
    <w:p w14:paraId="1AA079DF">
      <w:pPr>
        <w:pStyle w:val="3"/>
        <w:jc w:val="center"/>
      </w:pPr>
      <w:r>
        <w:t>Next Steps &amp; Investor Options</w:t>
      </w:r>
    </w:p>
    <w:p w14:paraId="19701BA8">
      <w:pPr>
        <w:pStyle w:val="50"/>
      </w:pPr>
    </w:p>
    <w:p w14:paraId="1AB21339">
      <w:pPr>
        <w:pStyle w:val="50"/>
      </w:pPr>
    </w:p>
    <w:p w14:paraId="375265A8">
      <w:pPr>
        <w:pStyle w:val="50"/>
      </w:pPr>
    </w:p>
    <w:p w14:paraId="3A58CC60">
      <w:pPr>
        <w:pStyle w:val="50"/>
      </w:pPr>
    </w:p>
    <w:p w14:paraId="22D81E2B">
      <w:pPr>
        <w:pStyle w:val="5"/>
        <w:bidi w:val="0"/>
      </w:pPr>
      <w:r>
        <w:t>The Client may consider the following options:</w:t>
      </w:r>
    </w:p>
    <w:p w14:paraId="0F0A2E28">
      <w:pPr>
        <w:pStyle w:val="5"/>
        <w:numPr>
          <w:ilvl w:val="0"/>
          <w:numId w:val="11"/>
        </w:numPr>
        <w:bidi w:val="0"/>
        <w:ind w:left="720" w:leftChars="0" w:hanging="360" w:firstLineChars="0"/>
        <w:jc w:val="left"/>
        <w:rPr>
          <w:rFonts w:hint="default" w:ascii="Arial Italic" w:hAnsi="Arial Italic" w:cs="Arial Italic"/>
          <w:b w:val="0"/>
          <w:bCs w:val="0"/>
          <w:i/>
          <w:iCs/>
          <w:color w:val="auto"/>
        </w:rPr>
      </w:pPr>
      <w:r>
        <w:rPr>
          <w:rFonts w:hint="default" w:ascii="Arial Italic" w:hAnsi="Arial Italic" w:cs="Arial Italic"/>
          <w:b w:val="0"/>
          <w:bCs w:val="0"/>
          <w:i/>
          <w:iCs/>
          <w:color w:val="auto"/>
        </w:rPr>
        <w:t>Retain this report for reference and take no action at this time</w:t>
      </w:r>
    </w:p>
    <w:p w14:paraId="0E30CCE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Engage a licensed electrical contractor of choice for works, if desired</w:t>
      </w:r>
    </w:p>
    <w:p w14:paraId="0F41B033">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Integrate findings into future renovation or asset planning</w:t>
      </w:r>
    </w:p>
    <w:p w14:paraId="07E56D6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Delegate coordination, quotation review, and audit oversight to a third-party adviso</w:t>
      </w:r>
    </w:p>
    <w:p w14:paraId="61922CE0">
      <w:pPr>
        <w:pStyle w:val="17"/>
        <w:keepNext w:val="0"/>
        <w:keepLines w:val="0"/>
        <w:widowControl/>
        <w:suppressLineNumbers w:val="0"/>
        <w:spacing w:before="0" w:beforeAutospacing="1" w:after="0" w:afterAutospacing="1"/>
        <w:ind w:left="0" w:right="0"/>
      </w:pPr>
      <w:r>
        <w:t>All decisions remain entirely at the Client’s discretion.</w:t>
      </w:r>
    </w:p>
    <w:p w14:paraId="49A7BA2E">
      <w:pPr>
        <w:pStyle w:val="50"/>
      </w:pPr>
    </w:p>
    <w:p w14:paraId="124BEA84">
      <w:pPr>
        <w:pStyle w:val="50"/>
      </w:pPr>
    </w:p>
    <w:p w14:paraId="4960216C">
      <w:pPr>
        <w:pStyle w:val="50"/>
      </w:pPr>
    </w:p>
    <w:p w14:paraId="79EB0000">
      <w:pPr>
        <w:pStyle w:val="50"/>
      </w:pPr>
    </w:p>
    <w:p w14:paraId="12E3B893">
      <w:pPr>
        <w:pStyle w:val="50"/>
      </w:pPr>
    </w:p>
    <w:p w14:paraId="4C9EA6B1">
      <w:pPr>
        <w:rPr>
          <w:lang w:val="en-AU" w:eastAsia="zh-CN"/>
        </w:rPr>
      </w:pPr>
      <w:r>
        <w:rPr>
          <w:lang w:val="en-AU" w:eastAsia="zh-CN"/>
        </w:rPr>
        <w:br w:type="page"/>
      </w:r>
    </w:p>
    <w:p w14:paraId="14661C79">
      <w:pPr>
        <w:pStyle w:val="3"/>
        <w:jc w:val="center"/>
      </w:pPr>
      <w:r>
        <w:t>Appendix – Test Data &amp; Technical Notes</w:t>
      </w:r>
    </w:p>
    <w:p w14:paraId="2C5EFEA9">
      <w:pPr>
        <w:pStyle w:val="50"/>
      </w:pPr>
    </w:p>
    <w:p w14:paraId="78A91FB6">
      <w:pPr>
        <w:pStyle w:val="50"/>
      </w:pPr>
    </w:p>
    <w:p w14:paraId="535C75C8">
      <w:pPr>
        <w:pStyle w:val="4"/>
      </w:pPr>
      <w:r>
        <w:t>Summary of Sample Test Results</w:t>
      </w:r>
    </w:p>
    <w:p w14:paraId="0E421144">
      <w:pPr>
        <w:pStyle w:val="4"/>
      </w:pPr>
    </w:p>
    <w:p w14:paraId="7F66C65B">
      <w:pPr>
        <w:pStyle w:val="4"/>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r>
    </w:p>
    <w:p w14:paraId="54D3AA31"/>
    <w:p w14:paraId="07F74B61">
      <w:pPr>
        <w:pStyle w:val="4"/>
      </w:pPr>
      <w:r>
        <w:t>Technical Note</w:t>
      </w:r>
    </w:p>
    <w:p w14:paraId="3513781E">
      <w:pPr>
        <w:pStyle w:val="50"/>
      </w:pPr>
    </w:p>
    <w:p w14:paraId="420CF4E5">
      <w:r/>
    </w:p>
    <w:p w14:paraId="05BB9472">
      <w:pPr>
        <w:pStyle w:val="52"/>
      </w:pPr>
    </w:p>
    <w:p w14:paraId="05766556">
      <w:pPr>
        <w:pStyle w:val="13"/>
        <w:numPr>
          <w:ilvl w:val="0"/>
          <w:numId w:val="0"/>
        </w:numPr>
        <w:rPr>
          <w:lang w:val="en-AU" w:eastAsia="zh-CN"/>
        </w:rPr>
      </w:pPr>
    </w:p>
    <w:p w14:paraId="6C76A1BD">
      <w:pPr>
        <w:pStyle w:val="13"/>
        <w:numPr>
          <w:ilvl w:val="0"/>
          <w:numId w:val="0"/>
        </w:numPr>
        <w:rPr>
          <w:lang w:val="en-AU" w:eastAsia="zh-CN"/>
        </w:rPr>
      </w:pPr>
    </w:p>
    <w:p w14:paraId="78B73EF2">
      <w:pPr>
        <w:pStyle w:val="13"/>
        <w:numPr>
          <w:ilvl w:val="0"/>
          <w:numId w:val="0"/>
        </w:numPr>
        <w:rPr>
          <w:lang w:val="en-AU" w:eastAsia="zh-CN"/>
        </w:rPr>
      </w:pPr>
    </w:p>
    <w:p w14:paraId="1CBDA934">
      <w:pPr>
        <w:pStyle w:val="13"/>
        <w:numPr>
          <w:ilvl w:val="0"/>
          <w:numId w:val="0"/>
        </w:numPr>
        <w:rPr>
          <w:lang w:val="en-AU" w:eastAsia="zh-CN"/>
        </w:rPr>
      </w:pPr>
    </w:p>
    <w:p w14:paraId="2E75CAB4">
      <w:pPr>
        <w:pStyle w:val="13"/>
        <w:numPr>
          <w:ilvl w:val="0"/>
          <w:numId w:val="0"/>
        </w:numPr>
        <w:rPr>
          <w:lang w:val="en-AU" w:eastAsia="zh-CN"/>
        </w:rPr>
      </w:pPr>
    </w:p>
    <w:p w14:paraId="06BF5E28">
      <w:pPr>
        <w:pStyle w:val="13"/>
        <w:numPr>
          <w:ilvl w:val="0"/>
          <w:numId w:val="0"/>
        </w:numPr>
        <w:rPr>
          <w:lang w:val="en-AU" w:eastAsia="zh-CN"/>
        </w:rPr>
      </w:pPr>
    </w:p>
    <w:p w14:paraId="3176BDC5">
      <w:r>
        <w:br w:type="page"/>
      </w:r>
    </w:p>
    <w:p w14:paraId="52C2E8F5">
      <w:pPr>
        <w:pStyle w:val="3"/>
        <w:jc w:val="center"/>
      </w:pPr>
      <w:r>
        <w:t>Terms &amp; Conditions of Assessment</w:t>
      </w:r>
    </w:p>
    <w:p w14:paraId="4F2F5007">
      <w:pPr>
        <w:pStyle w:val="52"/>
      </w:pPr>
      <w:r>
        <w:t>This Electrical Property Health Assessment is provided subject to the following terms and conditions:</w:t>
      </w:r>
    </w:p>
    <w:p w14:paraId="5FAA1142">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600" w:leftChars="0" w:right="0" w:rightChars="0" w:hanging="360"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Australian Consumer Law (ACL) Acknowledgement</w:t>
      </w:r>
    </w:p>
    <w:p w14:paraId="4875AC1C">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services come with guarantees that cannot be excluded under the Australian Consumer Law.</w:t>
      </w:r>
    </w:p>
    <w:p w14:paraId="02CD777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Nothing in this Report or these Terms purports to modify, exclude, or limit any statutory consumer guarantees where such exclusion is prohibited by law.</w:t>
      </w:r>
    </w:p>
    <w:p w14:paraId="58D7651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both"/>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Scope of Professional Opinion</w:t>
      </w:r>
    </w:p>
    <w:p w14:paraId="0EB7858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Assessment is a point-in-time, non-destructive, visual and functional review of accessible electrical components only.It is non-intrusive and non-exhaustive in nature and does not constitute a structural audit, engineering certification, or compliance inspection.No guarantee is provided that all defects, latent risks, or future failures have been identified.</w:t>
      </w:r>
    </w:p>
    <w:p w14:paraId="6B36AAB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Exclusive Reliance &amp; Confidentiality</w:t>
      </w:r>
    </w:p>
    <w:p w14:paraId="03E5B09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has been prepared solely for the use of the Client named on Page 1 for the purpose of informed asset and risk management.</w:t>
      </w:r>
    </w:p>
    <w:p w14:paraId="579C9DDE">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 third party (including but not limited to purchasers, insurers, or financiers) is entitled to rely on this Report without the express written consent of Better Home Technology Pty Ltd.</w:t>
      </w:r>
    </w:p>
    <w:p w14:paraId="0244CE00">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may not be assigned, transferred, or relied upon by any other party.</w:t>
      </w:r>
    </w:p>
    <w:p w14:paraId="3BB7C0B8">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Limitation of Liability &amp; Exclusion of Consequential Loss</w:t>
      </w:r>
    </w:p>
    <w:p w14:paraId="44024A6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To the maximum extent permitted by law, Better Home Technology Pty Ltd excludes all liability for any indirect or consequential loss arising from the use of this Report, including but not limited to loss of rental income, business interruption, data loss, or claims arising from property downtime or alleged diminution of asset value.</w:t>
      </w:r>
    </w:p>
    <w:p w14:paraId="7A764FB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Hazardous Materials (Including Asbestos)</w:t>
      </w:r>
    </w:p>
    <w:p w14:paraId="1241436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technicians are not licensed asbestos assessors and no testing for hazardous materials has been undertaken.</w:t>
      </w:r>
    </w:p>
    <w:p w14:paraId="5C74545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Where materials suspected to contain asbestos are observed, they are treated as such and no intrusive inspection is performed.</w:t>
      </w:r>
    </w:p>
    <w:p w14:paraId="1CE0D14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Statutory Compliance Disclaimer</w:t>
      </w:r>
    </w:p>
    <w:p w14:paraId="4C0F9F7A">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is a risk management and decision-support tool only.</w:t>
      </w:r>
    </w:p>
    <w:p w14:paraId="5EA4665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cs="sans-serif"/>
          <w:i w:val="0"/>
          <w:iCs w:val="0"/>
          <w:caps w:val="0"/>
          <w:spacing w:val="0"/>
          <w:sz w:val="28"/>
          <w:szCs w:val="28"/>
        </w:rPr>
      </w:pPr>
      <w:r>
        <w:rPr>
          <w:rFonts w:hint="default" w:ascii="sans-serif" w:hAnsi="sans-serif" w:eastAsia="sans-serif"/>
          <w:i w:val="0"/>
          <w:iCs w:val="0"/>
          <w:caps w:val="0"/>
          <w:color w:val="1A1C1E"/>
          <w:spacing w:val="0"/>
          <w:sz w:val="18"/>
          <w:szCs w:val="18"/>
          <w:shd w:val="clear" w:fill="FFFFFF"/>
        </w:rPr>
        <w:t>It does not constitute any state-based mandatory electrical compliance certification, rental safety inspection, or statutory approval unless expressly stated otherwise in writing.</w:t>
      </w:r>
      <w:r>
        <w:rPr>
          <w:rFonts w:hint="default" w:ascii="sans-serif" w:hAnsi="sans-serif" w:eastAsia="sans-serif" w:cs="sans-serif"/>
          <w:sz w:val="28"/>
          <w:szCs w:val="28"/>
        </w:rPr>
        <w:pict>
          <v:rect id="_x0000_i1032" o:spt="1" style="height:1.5pt;width:884pt;" fillcolor="#A0A0A0" filled="t" stroked="f" coordsize="21600,21600" o:hr="t" o:hrstd="t" o:hrpct="0" o:hralign="center">
            <v:path/>
            <v:fill on="t" focussize="0,0"/>
            <v:stroke on="f"/>
            <v:imagedata o:title=""/>
            <o:lock v:ext="edit"/>
            <w10:wrap type="none"/>
            <w10:anchorlock/>
          </v:rect>
        </w:pict>
      </w:r>
    </w:p>
    <w:p w14:paraId="4B372648">
      <w:pPr>
        <w:keepNext w:val="0"/>
        <w:keepLines w:val="0"/>
        <w:widowControl/>
        <w:suppressLineNumbers w:val="0"/>
        <w:jc w:val="left"/>
      </w:pPr>
    </w:p>
    <w:p w14:paraId="0A7C6296">
      <w:r>
        <w:br w:type="page"/>
      </w:r>
    </w:p>
    <w:p w14:paraId="327E69C1">
      <w:pPr>
        <w:pStyle w:val="3"/>
        <w:jc w:val="center"/>
      </w:pPr>
      <w:r>
        <w:t>Disclaimer &amp; Liability Boundary</w:t>
      </w:r>
    </w:p>
    <w:p w14:paraId="36ABE868">
      <w:pPr>
        <w:pStyle w:val="50"/>
      </w:pPr>
    </w:p>
    <w:p w14:paraId="12080929">
      <w:pPr>
        <w:pStyle w:val="50"/>
      </w:pPr>
    </w:p>
    <w:p w14:paraId="1BA82F25">
      <w:pPr>
        <w:pStyle w:val="50"/>
      </w:pPr>
    </w:p>
    <w:p w14:paraId="1D703976">
      <w:pPr>
        <w:pStyle w:val="50"/>
      </w:pPr>
    </w:p>
    <w:p w14:paraId="7BFFA8B5">
      <w:pPr>
        <w:pStyle w:val="52"/>
      </w:pPr>
      <w:r>
        <w:t>This assessment reflects the electrical condition</w:t>
      </w:r>
    </w:p>
    <w:p w14:paraId="19F81A2C">
      <w:pPr>
        <w:pStyle w:val="52"/>
      </w:pPr>
      <w:r>
        <w:t>observed at the time of inspection only.</w:t>
      </w:r>
    </w:p>
    <w:p w14:paraId="5E10CB8C">
      <w:pPr>
        <w:pStyle w:val="50"/>
      </w:pPr>
    </w:p>
    <w:p w14:paraId="455D913A">
      <w:pPr>
        <w:pStyle w:val="52"/>
      </w:pPr>
      <w:r>
        <w:t>No guarantee is provided regarding future performance</w:t>
      </w:r>
    </w:p>
    <w:p w14:paraId="31992FF8">
      <w:pPr>
        <w:pStyle w:val="52"/>
      </w:pPr>
      <w:r>
        <w:t>or concealed conditions beyond accessible areas.</w:t>
      </w:r>
    </w:p>
    <w:p w14:paraId="5CD20506">
      <w:pPr>
        <w:pStyle w:val="50"/>
      </w:pPr>
    </w:p>
    <w:p w14:paraId="00179F69">
      <w:pPr>
        <w:pStyle w:val="52"/>
      </w:pPr>
      <w:r>
        <w:t>This report does not replace statutory compliance inspections</w:t>
      </w:r>
    </w:p>
    <w:p w14:paraId="254B25A9">
      <w:pPr>
        <w:pStyle w:val="52"/>
      </w:pPr>
      <w:r>
        <w:t>or certification requirements.</w:t>
      </w:r>
    </w:p>
    <w:p w14:paraId="2A765E68">
      <w:pPr>
        <w:pStyle w:val="13"/>
        <w:numPr>
          <w:ilvl w:val="0"/>
          <w:numId w:val="0"/>
        </w:numPr>
        <w:rPr>
          <w:lang w:val="en-AU" w:eastAsia="zh-CN"/>
        </w:rPr>
      </w:pPr>
    </w:p>
    <w:sectPr>
      <w:footerReference r:id="rId6" w:type="first"/>
      <w:footerReference r:id="rId5" w:type="default"/>
      <w:headerReference w:type="default" r:id="rId10"/>
      <w:pgSz w:w="12240" w:h="15840"/>
      <w:pgMar w:top="1901" w:right="1008" w:bottom="1440" w:left="1008" w:header="720"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roman"/>
    <w:pitch w:val="default"/>
    <w:sig w:usb0="00000287" w:usb1="00000000" w:usb2="00000000" w:usb3="00000000" w:csb0="2000009F" w:csb1="00000000"/>
  </w:font>
  <w:font w:name="方正舒体">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AppleSystemUIFont">
    <w:altName w:val="苹方-简"/>
    <w:panose1 w:val="020B0604020202020204"/>
    <w:charset w:val="00"/>
    <w:family w:val="roman"/>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Arial Italic">
    <w:panose1 w:val="020B06040202020902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黑体">
    <w:altName w:val="黑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73B776C">
        <w:pPr>
          <w:pStyle w:val="14"/>
        </w:pPr>
        <w:r>
          <w:fldChar w:fldCharType="begin"/>
        </w:r>
        <w:r>
          <w:instrText xml:space="preserve"> PAGE   \* MERGEFORMAT </w:instrText>
        </w:r>
        <w:r>
          <w:fldChar w:fldCharType="separate"/>
        </w:r>
        <w:r>
          <w:t>2</w:t>
        </w:r>
        <w:r>
          <w:fldChar w:fldCharType="end"/>
        </w:r>
        <w: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6F2B1">
    <w:pPr>
      <w:pStyle w:val="14"/>
      <w:rPr>
        <w:lang w:val="en-AU"/>
      </w:rPr>
    </w:pPr>
    <w:r>
      <w:rPr>
        <w:rFonts w:hint="eastAsia"/>
        <w:lang w:eastAsia="zh-CN"/>
      </w:rPr>
      <w:t>Better Home Technology Pty</w:t>
    </w:r>
    <w:r>
      <w:rPr>
        <w:lang w:val="en-AU" w:eastAsia="zh-CN"/>
      </w:rPr>
      <w:t>.Ltd.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E261"/>
    <w:multiLevelType w:val="singleLevel"/>
    <w:tmpl w:val="DFFFE261"/>
    <w:lvl w:ilvl="0" w:tentative="0">
      <w:start w:val="1"/>
      <w:numFmt w:val="decimal"/>
      <w:lvlText w:val="%1."/>
      <w:lvlJc w:val="left"/>
      <w:pPr>
        <w:tabs>
          <w:tab w:val="left" w:pos="0"/>
        </w:tabs>
        <w:ind w:left="425" w:hanging="425"/>
      </w:pPr>
      <w:rPr>
        <w:rFonts w:hint="default"/>
      </w:rPr>
    </w:lvl>
  </w:abstractNum>
  <w:abstractNum w:abstractNumId="1">
    <w:nsid w:val="FE733A97"/>
    <w:multiLevelType w:val="multilevel"/>
    <w:tmpl w:val="FE733A9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06312D36"/>
    <w:multiLevelType w:val="multilevel"/>
    <w:tmpl w:val="06312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2A271A"/>
    <w:multiLevelType w:val="multilevel"/>
    <w:tmpl w:val="0A2A27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4B5103"/>
    <w:multiLevelType w:val="multilevel"/>
    <w:tmpl w:val="0C4B5103"/>
    <w:lvl w:ilvl="0" w:tentative="0">
      <w:start w:val="1"/>
      <w:numFmt w:val="decimal"/>
      <w:pStyle w:val="11"/>
      <w:lvlText w:val="%1."/>
      <w:lvlJc w:val="left"/>
      <w:pPr>
        <w:tabs>
          <w:tab w:val="left" w:pos="936"/>
        </w:tabs>
        <w:ind w:left="936"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D6103B9"/>
    <w:multiLevelType w:val="multilevel"/>
    <w:tmpl w:val="0D6103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CD6E3B"/>
    <w:multiLevelType w:val="multilevel"/>
    <w:tmpl w:val="30CD6E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CEC6F3B"/>
    <w:multiLevelType w:val="multilevel"/>
    <w:tmpl w:val="3CEC6F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372315"/>
    <w:multiLevelType w:val="multilevel"/>
    <w:tmpl w:val="4C372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F2621DA"/>
    <w:multiLevelType w:val="multilevel"/>
    <w:tmpl w:val="4F2621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9F61C5D"/>
    <w:multiLevelType w:val="multilevel"/>
    <w:tmpl w:val="79F61C5D"/>
    <w:lvl w:ilvl="0" w:tentative="0">
      <w:start w:val="1"/>
      <w:numFmt w:val="bullet"/>
      <w:pStyle w:val="13"/>
      <w:lvlText w:val=""/>
      <w:lvlJc w:val="left"/>
      <w:pPr>
        <w:tabs>
          <w:tab w:val="left" w:pos="936"/>
        </w:tabs>
        <w:ind w:left="936"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FDE3ADB"/>
    <w:multiLevelType w:val="multilevel"/>
    <w:tmpl w:val="7FDE3A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0"/>
  </w:num>
  <w:num w:numId="3">
    <w:abstractNumId w:val="1"/>
  </w:num>
  <w:num w:numId="4">
    <w:abstractNumId w:val="2"/>
  </w:num>
  <w:num w:numId="5">
    <w:abstractNumId w:val="5"/>
  </w:num>
  <w:num w:numId="6">
    <w:abstractNumId w:val="11"/>
  </w:num>
  <w:num w:numId="7">
    <w:abstractNumId w:val="7"/>
  </w:num>
  <w:num w:numId="8">
    <w:abstractNumId w:val="3"/>
  </w:num>
  <w:num w:numId="9">
    <w:abstractNumId w:val="6"/>
  </w:num>
  <w:num w:numId="10">
    <w:abstractNumId w:val="8"/>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E5"/>
    <w:rsid w:val="00012967"/>
    <w:rsid w:val="004469C0"/>
    <w:rsid w:val="00452F1E"/>
    <w:rsid w:val="005F386F"/>
    <w:rsid w:val="00944B7C"/>
    <w:rsid w:val="00995FE5"/>
    <w:rsid w:val="00A30267"/>
    <w:rsid w:val="00CC160D"/>
    <w:rsid w:val="00D03948"/>
    <w:rsid w:val="00E73B30"/>
    <w:rsid w:val="3E7FF5A5"/>
    <w:rsid w:val="5B377716"/>
    <w:rsid w:val="6ACF876D"/>
    <w:rsid w:val="A3DCBA53"/>
    <w:rsid w:val="FEF78A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31" w:semiHidden="0" w:name="List Bullet"/>
    <w:lsdException w:qFormat="1" w:unhideWhenUsed="0" w:uiPriority="32"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1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29" w:semiHidden="0"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60" w:after="320" w:line="360" w:lineRule="auto"/>
    </w:pPr>
    <w:rPr>
      <w:rFonts w:eastAsia="宋体" w:asciiTheme="minorHAnsi" w:hAnsiTheme="minorHAnsi" w:cstheme="minorBidi"/>
      <w:color w:val="808080" w:themeColor="text1" w:themeTint="80"/>
      <w:sz w:val="24"/>
      <w:szCs w:val="24"/>
      <w:lang w:val="en-US" w:eastAsia="ja-JP" w:bidi="ar-SA"/>
      <w14:textFill>
        <w14:solidFill>
          <w14:schemeClr w14:val="tx1">
            <w14:lumMod w14:val="50000"/>
            <w14:lumOff w14:val="50000"/>
          </w14:schemeClr>
        </w14:solidFill>
      </w14:textFill>
    </w:rPr>
  </w:style>
  <w:style w:type="paragraph" w:styleId="2">
    <w:name w:val="heading 1"/>
    <w:basedOn w:val="1"/>
    <w:next w:val="1"/>
    <w:link w:val="26"/>
    <w:qFormat/>
    <w:uiPriority w:val="9"/>
    <w:pPr>
      <w:keepNext/>
      <w:keepLines/>
      <w:spacing w:before="240" w:line="240" w:lineRule="auto"/>
      <w:outlineLvl w:val="0"/>
    </w:pPr>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paragraph" w:styleId="3">
    <w:name w:val="heading 2"/>
    <w:basedOn w:val="1"/>
    <w:next w:val="1"/>
    <w:link w:val="27"/>
    <w:unhideWhenUsed/>
    <w:qFormat/>
    <w:uiPriority w:val="9"/>
    <w:pPr>
      <w:keepNext/>
      <w:keepLines/>
      <w:spacing w:after="200" w:line="240" w:lineRule="auto"/>
      <w:outlineLvl w:val="1"/>
    </w:pPr>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paragraph" w:styleId="4">
    <w:name w:val="heading 3"/>
    <w:basedOn w:val="1"/>
    <w:next w:val="1"/>
    <w:link w:val="46"/>
    <w:unhideWhenUsed/>
    <w:qFormat/>
    <w:uiPriority w:val="9"/>
    <w:pPr>
      <w:keepNext/>
      <w:keepLines/>
      <w:spacing w:after="240" w:line="240" w:lineRule="auto"/>
      <w:contextualSpacing/>
      <w:outlineLvl w:val="2"/>
    </w:pPr>
    <w:rPr>
      <w:rFonts w:asciiTheme="majorHAnsi" w:hAnsiTheme="majorHAnsi" w:eastAsiaTheme="majorEastAsia" w:cstheme="majorBidi"/>
      <w:color w:val="0072C6" w:themeColor="accent1"/>
      <w:sz w:val="34"/>
      <w14:textFill>
        <w14:solidFill>
          <w14:schemeClr w14:val="accent1"/>
        </w14:solidFill>
      </w14:textFill>
    </w:rPr>
  </w:style>
  <w:style w:type="paragraph" w:styleId="5">
    <w:name w:val="heading 4"/>
    <w:basedOn w:val="1"/>
    <w:next w:val="1"/>
    <w:link w:val="56"/>
    <w:unhideWhenUsed/>
    <w:qFormat/>
    <w:uiPriority w:val="9"/>
    <w:pPr>
      <w:keepNext/>
      <w:keepLines/>
      <w:spacing w:before="40" w:after="0"/>
      <w:outlineLvl w:val="3"/>
    </w:pPr>
    <w:rPr>
      <w:rFonts w:asciiTheme="majorHAnsi" w:hAnsiTheme="majorHAnsi" w:eastAsiaTheme="majorEastAsia" w:cstheme="majorBidi"/>
      <w:i/>
      <w:iCs/>
      <w:color w:val="005695" w:themeColor="accent1" w:themeShade="BF"/>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47"/>
    <w:semiHidden/>
    <w:unhideWhenUsed/>
    <w:qFormat/>
    <w:uiPriority w:val="9"/>
    <w:pPr>
      <w:keepNext/>
      <w:keepLines/>
      <w:spacing w:before="40" w:after="0"/>
      <w:outlineLvl w:val="5"/>
    </w:pPr>
    <w:rPr>
      <w:rFonts w:asciiTheme="majorHAnsi" w:hAnsiTheme="majorHAnsi" w:eastAsiaTheme="majorEastAsia" w:cstheme="majorBidi"/>
      <w:color w:val="0072C6" w:themeColor="accent1"/>
      <w14:textFill>
        <w14:solidFill>
          <w14:schemeClr w14:val="accent1"/>
        </w14:solidFill>
      </w14:textFill>
    </w:rPr>
  </w:style>
  <w:style w:type="paragraph" w:styleId="8">
    <w:name w:val="heading 7"/>
    <w:basedOn w:val="1"/>
    <w:next w:val="1"/>
    <w:link w:val="32"/>
    <w:semiHidden/>
    <w:unhideWhenUsed/>
    <w:qFormat/>
    <w:uiPriority w:val="9"/>
    <w:pPr>
      <w:keepNext/>
      <w:keepLines/>
      <w:spacing w:after="180" w:line="240" w:lineRule="auto"/>
      <w:outlineLvl w:val="6"/>
    </w:pPr>
    <w:rPr>
      <w:rFonts w:asciiTheme="majorHAnsi" w:hAnsiTheme="majorHAnsi" w:eastAsiaTheme="majorEastAsia" w:cstheme="majorBidi"/>
      <w:i/>
      <w:iCs/>
      <w:spacing w:val="14"/>
    </w:rPr>
  </w:style>
  <w:style w:type="paragraph" w:styleId="9">
    <w:name w:val="heading 8"/>
    <w:basedOn w:val="1"/>
    <w:next w:val="1"/>
    <w:link w:val="33"/>
    <w:semiHidden/>
    <w:unhideWhenUsed/>
    <w:qFormat/>
    <w:uiPriority w:val="9"/>
    <w:pPr>
      <w:keepNext/>
      <w:keepLines/>
      <w:spacing w:after="180" w:line="240" w:lineRule="auto"/>
      <w:outlineLvl w:val="7"/>
    </w:pPr>
    <w:rPr>
      <w:rFonts w:asciiTheme="majorHAnsi" w:hAnsiTheme="majorHAnsi" w:eastAsiaTheme="majorEastAsia" w:cstheme="majorBidi"/>
      <w:spacing w:val="14"/>
      <w:sz w:val="26"/>
      <w:szCs w:val="21"/>
    </w:rPr>
  </w:style>
  <w:style w:type="paragraph" w:styleId="10">
    <w:name w:val="heading 9"/>
    <w:basedOn w:val="1"/>
    <w:next w:val="1"/>
    <w:link w:val="34"/>
    <w:semiHidden/>
    <w:unhideWhenUsed/>
    <w:qFormat/>
    <w:uiPriority w:val="9"/>
    <w:pPr>
      <w:keepNext/>
      <w:keepLines/>
      <w:spacing w:after="180" w:line="240" w:lineRule="auto"/>
      <w:outlineLvl w:val="8"/>
    </w:pPr>
    <w:rPr>
      <w:rFonts w:asciiTheme="majorHAnsi" w:hAnsiTheme="majorHAnsi" w:eastAsiaTheme="majorEastAsia" w:cstheme="majorBidi"/>
      <w:i/>
      <w:iCs/>
      <w:spacing w:val="14"/>
      <w:sz w:val="26"/>
      <w:szCs w:val="21"/>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List Number"/>
    <w:basedOn w:val="1"/>
    <w:qFormat/>
    <w:uiPriority w:val="32"/>
    <w:pPr>
      <w:numPr>
        <w:ilvl w:val="0"/>
        <w:numId w:val="1"/>
      </w:numPr>
      <w:contextualSpacing/>
    </w:pPr>
  </w:style>
  <w:style w:type="paragraph" w:styleId="12">
    <w:name w:val="caption"/>
    <w:basedOn w:val="1"/>
    <w:next w:val="1"/>
    <w:semiHidden/>
    <w:unhideWhenUsed/>
    <w:qFormat/>
    <w:uiPriority w:val="35"/>
    <w:pPr>
      <w:spacing w:after="200" w:line="240" w:lineRule="auto"/>
    </w:pPr>
    <w:rPr>
      <w:i/>
      <w:iCs/>
      <w:sz w:val="20"/>
      <w:szCs w:val="18"/>
    </w:rPr>
  </w:style>
  <w:style w:type="paragraph" w:styleId="13">
    <w:name w:val="List Bullet"/>
    <w:basedOn w:val="1"/>
    <w:qFormat/>
    <w:uiPriority w:val="31"/>
    <w:pPr>
      <w:numPr>
        <w:ilvl w:val="0"/>
        <w:numId w:val="2"/>
      </w:numPr>
      <w:contextualSpacing/>
    </w:pPr>
  </w:style>
  <w:style w:type="paragraph" w:styleId="14">
    <w:name w:val="footer"/>
    <w:basedOn w:val="1"/>
    <w:link w:val="42"/>
    <w:unhideWhenUsed/>
    <w:qFormat/>
    <w:uiPriority w:val="99"/>
    <w:pPr>
      <w:pBdr>
        <w:top w:val="single" w:color="0072C6" w:themeColor="accent1" w:sz="4" w:space="8"/>
        <w:left w:val="single" w:color="0072C6" w:themeColor="accent1" w:sz="4" w:space="31"/>
        <w:bottom w:val="single" w:color="0072C6" w:themeColor="accent1" w:sz="4" w:space="8"/>
        <w:right w:val="single" w:color="0072C6" w:themeColor="accent1" w:sz="4" w:space="31"/>
      </w:pBdr>
      <w:shd w:val="clear" w:color="auto" w:fill="0072C6" w:themeFill="accent1"/>
      <w:spacing w:before="0" w:after="0" w:line="240" w:lineRule="auto"/>
    </w:pPr>
    <w:rPr>
      <w:color w:val="FFFFFF" w:themeColor="background1"/>
      <w14:textFill>
        <w14:solidFill>
          <w14:schemeClr w14:val="bg1"/>
        </w14:solidFill>
      </w14:textFill>
    </w:rPr>
  </w:style>
  <w:style w:type="paragraph" w:styleId="15">
    <w:name w:val="header"/>
    <w:basedOn w:val="1"/>
    <w:link w:val="28"/>
    <w:unhideWhenUsed/>
    <w:uiPriority w:val="99"/>
    <w:pPr>
      <w:spacing w:before="0" w:after="0" w:line="240" w:lineRule="auto"/>
    </w:pPr>
  </w:style>
  <w:style w:type="paragraph" w:styleId="16">
    <w:name w:val="Subtitle"/>
    <w:basedOn w:val="1"/>
    <w:next w:val="1"/>
    <w:link w:val="31"/>
    <w:semiHidden/>
    <w:unhideWhenUsed/>
    <w:qFormat/>
    <w:uiPriority w:val="11"/>
    <w:pPr>
      <w:spacing w:before="0" w:after="720" w:line="240" w:lineRule="auto"/>
      <w:contextualSpacing/>
    </w:pPr>
    <w:rPr>
      <w:rFonts w:eastAsiaTheme="minorEastAsia"/>
      <w:caps/>
      <w:sz w:val="40"/>
      <w:szCs w:val="22"/>
    </w:r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8">
    <w:name w:val="Title"/>
    <w:basedOn w:val="1"/>
    <w:next w:val="1"/>
    <w:link w:val="25"/>
    <w:semiHidden/>
    <w:unhideWhenUsed/>
    <w:qFormat/>
    <w:uiPriority w:val="10"/>
    <w:pPr>
      <w:spacing w:before="0" w:after="0" w:line="240" w:lineRule="auto"/>
      <w:contextualSpacing/>
    </w:pPr>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table" w:styleId="20">
    <w:name w:val="Table Grid"/>
    <w:basedOn w:val="1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semiHidden/>
    <w:unhideWhenUsed/>
    <w:qFormat/>
    <w:uiPriority w:val="22"/>
    <w:rPr>
      <w:b/>
      <w:bCs/>
      <w:color w:val="0072C6" w:themeColor="accent1"/>
      <w14:textFill>
        <w14:solidFill>
          <w14:schemeClr w14:val="accent1"/>
        </w14:solidFill>
      </w14:textFill>
    </w:rPr>
  </w:style>
  <w:style w:type="character" w:styleId="23">
    <w:name w:val="Emphasis"/>
    <w:basedOn w:val="21"/>
    <w:semiHidden/>
    <w:unhideWhenUsed/>
    <w:qFormat/>
    <w:uiPriority w:val="20"/>
    <w:rPr>
      <w:i/>
      <w:iCs/>
      <w:color w:val="F98723" w:themeColor="accent2"/>
      <w14:textFill>
        <w14:solidFill>
          <w14:schemeClr w14:val="accent2"/>
        </w14:solidFill>
      </w14:textFill>
    </w:rPr>
  </w:style>
  <w:style w:type="table" w:customStyle="1" w:styleId="24">
    <w:name w:val="List Table 3 Accent 1"/>
    <w:basedOn w:val="19"/>
    <w:uiPriority w:val="48"/>
    <w:pPr>
      <w:spacing w:after="0" w:line="240" w:lineRule="auto"/>
    </w:pPr>
    <w:tblPr>
      <w:tblBorders>
        <w:top w:val="single" w:color="0072C6" w:themeColor="accent1" w:sz="4" w:space="0"/>
        <w:left w:val="single" w:color="0072C6" w:themeColor="accent1" w:sz="4" w:space="0"/>
        <w:bottom w:val="single" w:color="0072C6" w:themeColor="accent1" w:sz="4" w:space="0"/>
        <w:right w:val="single" w:color="0072C6" w:themeColor="accent1" w:sz="4" w:space="0"/>
      </w:tblBorders>
    </w:tblPr>
    <w:tblStylePr w:type="firstRow">
      <w:rPr>
        <w:b/>
        <w:bCs/>
        <w:color w:val="FFFFFF" w:themeColor="background1"/>
        <w14:textFill>
          <w14:solidFill>
            <w14:schemeClr w14:val="bg1"/>
          </w14:solidFill>
        </w14:textFill>
      </w:rPr>
      <w:tcPr>
        <w:shd w:val="clear" w:color="auto" w:fill="0072C6" w:themeFill="accent1"/>
      </w:tcPr>
    </w:tblStylePr>
    <w:tblStylePr w:type="lastRow">
      <w:rPr>
        <w:b/>
        <w:bCs/>
      </w:rPr>
      <w:tcPr>
        <w:tcBorders>
          <w:top w:val="double" w:color="0072C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72C6" w:themeColor="accent1" w:sz="4" w:space="0"/>
          <w:right w:val="single" w:color="0072C6" w:themeColor="accent1" w:sz="4" w:space="0"/>
        </w:tcBorders>
      </w:tcPr>
    </w:tblStylePr>
    <w:tblStylePr w:type="band1Horz">
      <w:tcPr>
        <w:tcBorders>
          <w:top w:val="single" w:color="0072C6" w:themeColor="accent1" w:sz="4" w:space="0"/>
          <w:bottom w:val="single" w:color="0072C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72C6" w:themeColor="accent1" w:sz="4" w:space="0"/>
          <w:left w:val="nil"/>
        </w:tcBorders>
      </w:tcPr>
    </w:tblStylePr>
    <w:tblStylePr w:type="swCell">
      <w:tcPr>
        <w:tcBorders>
          <w:top w:val="double" w:color="0072C6" w:themeColor="accent1" w:sz="4" w:space="0"/>
          <w:right w:val="nil"/>
        </w:tcBorders>
      </w:tcPr>
    </w:tblStylePr>
  </w:style>
  <w:style w:type="character" w:customStyle="1" w:styleId="25">
    <w:name w:val="Title Char"/>
    <w:basedOn w:val="21"/>
    <w:link w:val="18"/>
    <w:semiHidden/>
    <w:uiPriority w:val="10"/>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character" w:customStyle="1" w:styleId="26">
    <w:name w:val="Heading 1 Char"/>
    <w:basedOn w:val="21"/>
    <w:link w:val="2"/>
    <w:uiPriority w:val="9"/>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character" w:customStyle="1" w:styleId="27">
    <w:name w:val="Heading 2 Char"/>
    <w:basedOn w:val="21"/>
    <w:link w:val="3"/>
    <w:uiPriority w:val="9"/>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character" w:customStyle="1" w:styleId="28">
    <w:name w:val="Header Char"/>
    <w:basedOn w:val="21"/>
    <w:link w:val="15"/>
    <w:uiPriority w:val="99"/>
  </w:style>
  <w:style w:type="paragraph" w:styleId="29">
    <w:name w:val="Intense Quote"/>
    <w:basedOn w:val="1"/>
    <w:next w:val="1"/>
    <w:link w:val="45"/>
    <w:semiHidden/>
    <w:unhideWhenUsed/>
    <w:qFormat/>
    <w:uiPriority w:val="30"/>
    <w:pPr>
      <w:spacing w:before="360" w:after="560" w:line="264" w:lineRule="auto"/>
      <w:ind w:left="605" w:right="605"/>
      <w:contextualSpacing/>
    </w:pPr>
    <w:rPr>
      <w:rFonts w:asciiTheme="majorHAnsi" w:hAnsiTheme="majorHAnsi"/>
      <w:i/>
      <w:iCs/>
      <w:color w:val="F98723" w:themeColor="accent2"/>
      <w:sz w:val="32"/>
      <w14:textFill>
        <w14:solidFill>
          <w14:schemeClr w14:val="accent2"/>
        </w14:solidFill>
      </w14:textFill>
    </w:rPr>
  </w:style>
  <w:style w:type="table" w:customStyle="1" w:styleId="30">
    <w:name w:val="Business Paper"/>
    <w:basedOn w:val="19"/>
    <w:uiPriority w:val="99"/>
    <w:pPr>
      <w:spacing w:before="240" w:after="180" w:line="240" w:lineRule="auto"/>
    </w:pPr>
    <w:rPr>
      <w:b/>
    </w:rPr>
    <w:tblPr>
      <w:tblBorders>
        <w:bottom w:val="single" w:color="0072C6" w:themeColor="accent1" w:sz="6" w:space="0"/>
        <w:insideH w:val="single" w:color="0072C6" w:themeColor="accent1" w:sz="6" w:space="0"/>
      </w:tblBorders>
      <w:tblCellMar>
        <w:left w:w="230" w:type="dxa"/>
        <w:right w:w="0" w:type="dxa"/>
      </w:tblCellMar>
    </w:tblPr>
    <w:tblStylePr w:type="firstRow">
      <w:pPr>
        <w:wordWrap/>
        <w:spacing w:before="200" w:beforeLines="0" w:beforeAutospacing="0" w:after="160" w:afterLines="0" w:afterAutospacing="0"/>
      </w:pPr>
      <w:rPr>
        <w:b/>
        <w:i w:val="0"/>
        <w:color w:val="FDF9F7" w:themeColor="background2"/>
        <w:sz w:val="28"/>
        <w14:textFill>
          <w14:solidFill>
            <w14:schemeClr w14:val="bg2"/>
          </w14:solidFill>
        </w14:textFill>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240" w:beforeLines="0" w:beforeAutospacing="0" w:after="180" w:afterLines="0" w:afterAutospacing="0"/>
        <w:jc w:val="right"/>
      </w:pPr>
      <w:rPr>
        <w:rFonts w:asciiTheme="majorHAnsi" w:hAnsiTheme="majorHAnsi"/>
        <w:b w:val="0"/>
        <w:i w:val="0"/>
        <w:color w:val="0072C6" w:themeColor="accent1"/>
        <w:sz w:val="24"/>
        <w14:textFill>
          <w14:solidFill>
            <w14:schemeClr w14:val="accent1"/>
          </w14:solidFill>
        </w14:textFill>
      </w:rPr>
    </w:tblStylePr>
    <w:tblStylePr w:type="nwCell">
      <w:pPr>
        <w:wordWrap/>
        <w:jc w:val="left"/>
      </w:pPr>
    </w:tblStylePr>
  </w:style>
  <w:style w:type="character" w:customStyle="1" w:styleId="31">
    <w:name w:val="Subtitle Char"/>
    <w:basedOn w:val="21"/>
    <w:link w:val="16"/>
    <w:semiHidden/>
    <w:uiPriority w:val="11"/>
    <w:rPr>
      <w:rFonts w:eastAsiaTheme="minorEastAsia"/>
      <w:caps/>
      <w:sz w:val="40"/>
      <w:szCs w:val="22"/>
    </w:rPr>
  </w:style>
  <w:style w:type="character" w:customStyle="1" w:styleId="32">
    <w:name w:val="Heading 7 Char"/>
    <w:basedOn w:val="21"/>
    <w:link w:val="8"/>
    <w:semiHidden/>
    <w:uiPriority w:val="9"/>
    <w:rPr>
      <w:rFonts w:asciiTheme="majorHAnsi" w:hAnsiTheme="majorHAnsi" w:eastAsiaTheme="majorEastAsia" w:cstheme="majorBidi"/>
      <w:i/>
      <w:iCs/>
      <w:spacing w:val="14"/>
    </w:rPr>
  </w:style>
  <w:style w:type="character" w:customStyle="1" w:styleId="33">
    <w:name w:val="Heading 8 Char"/>
    <w:basedOn w:val="21"/>
    <w:link w:val="9"/>
    <w:semiHidden/>
    <w:uiPriority w:val="9"/>
    <w:rPr>
      <w:rFonts w:asciiTheme="majorHAnsi" w:hAnsiTheme="majorHAnsi" w:eastAsiaTheme="majorEastAsia" w:cstheme="majorBidi"/>
      <w:spacing w:val="14"/>
      <w:sz w:val="26"/>
      <w:szCs w:val="21"/>
    </w:rPr>
  </w:style>
  <w:style w:type="character" w:customStyle="1" w:styleId="34">
    <w:name w:val="Heading 9 Char"/>
    <w:basedOn w:val="21"/>
    <w:link w:val="10"/>
    <w:semiHidden/>
    <w:uiPriority w:val="9"/>
    <w:rPr>
      <w:rFonts w:asciiTheme="majorHAnsi" w:hAnsiTheme="majorHAnsi" w:eastAsiaTheme="majorEastAsia" w:cstheme="majorBidi"/>
      <w:i/>
      <w:iCs/>
      <w:spacing w:val="14"/>
      <w:sz w:val="26"/>
      <w:szCs w:val="21"/>
    </w:rPr>
  </w:style>
  <w:style w:type="character" w:customStyle="1" w:styleId="35">
    <w:name w:val="Subtle Emphasis"/>
    <w:basedOn w:val="21"/>
    <w:semiHidden/>
    <w:unhideWhenUsed/>
    <w:qFormat/>
    <w:uiPriority w:val="19"/>
    <w:rPr>
      <w:i/>
      <w:iCs/>
      <w:color w:val="0072C6" w:themeColor="accent1"/>
      <w14:textFill>
        <w14:solidFill>
          <w14:schemeClr w14:val="accent1"/>
        </w14:solidFill>
      </w14:textFill>
    </w:rPr>
  </w:style>
  <w:style w:type="character" w:customStyle="1" w:styleId="36">
    <w:name w:val="Intense Emphasis"/>
    <w:basedOn w:val="21"/>
    <w:semiHidden/>
    <w:unhideWhenUsed/>
    <w:qFormat/>
    <w:uiPriority w:val="21"/>
    <w:rPr>
      <w:b/>
      <w:i/>
      <w:iCs/>
      <w:color w:val="F98723" w:themeColor="accent2"/>
      <w14:textFill>
        <w14:solidFill>
          <w14:schemeClr w14:val="accent2"/>
        </w14:solidFill>
      </w14:textFill>
    </w:rPr>
  </w:style>
  <w:style w:type="character" w:customStyle="1" w:styleId="37">
    <w:name w:val="Subtle Reference"/>
    <w:basedOn w:val="21"/>
    <w:semiHidden/>
    <w:unhideWhenUsed/>
    <w:qFormat/>
    <w:uiPriority w:val="31"/>
    <w:rPr>
      <w:i/>
      <w:caps/>
      <w:color w:val="0072C6" w:themeColor="accent1"/>
      <w14:textFill>
        <w14:solidFill>
          <w14:schemeClr w14:val="accent1"/>
        </w14:solidFill>
      </w14:textFill>
    </w:rPr>
  </w:style>
  <w:style w:type="character" w:customStyle="1" w:styleId="38">
    <w:name w:val="Intense Reference"/>
    <w:basedOn w:val="21"/>
    <w:semiHidden/>
    <w:unhideWhenUsed/>
    <w:qFormat/>
    <w:uiPriority w:val="32"/>
    <w:rPr>
      <w:b/>
      <w:bCs/>
      <w:i/>
      <w:caps/>
      <w:color w:val="0072C6" w:themeColor="accent1"/>
      <w:spacing w:val="0"/>
      <w14:textFill>
        <w14:solidFill>
          <w14:schemeClr w14:val="accent1"/>
        </w14:solidFill>
      </w14:textFill>
    </w:rPr>
  </w:style>
  <w:style w:type="character" w:customStyle="1" w:styleId="39">
    <w:name w:val="Book Title"/>
    <w:basedOn w:val="21"/>
    <w:semiHidden/>
    <w:unhideWhenUsed/>
    <w:qFormat/>
    <w:uiPriority w:val="33"/>
    <w:rPr>
      <w:bCs/>
      <w:iCs/>
      <w:color w:val="0072C6" w:themeColor="accent1"/>
      <w:spacing w:val="0"/>
      <w:u w:val="single"/>
      <w14:textFill>
        <w14:solidFill>
          <w14:schemeClr w14:val="accent1"/>
        </w14:solidFill>
      </w14:textFill>
    </w:rPr>
  </w:style>
  <w:style w:type="paragraph" w:customStyle="1" w:styleId="40">
    <w:name w:val="TOC Heading"/>
    <w:basedOn w:val="2"/>
    <w:next w:val="1"/>
    <w:semiHidden/>
    <w:unhideWhenUsed/>
    <w:qFormat/>
    <w:uiPriority w:val="39"/>
    <w:pPr>
      <w:spacing w:after="0" w:line="360" w:lineRule="auto"/>
      <w:outlineLvl w:val="9"/>
    </w:pPr>
    <w:rPr>
      <w:sz w:val="84"/>
    </w:rPr>
  </w:style>
  <w:style w:type="character" w:styleId="41">
    <w:name w:val="Placeholder Text"/>
    <w:basedOn w:val="21"/>
    <w:semiHidden/>
    <w:uiPriority w:val="99"/>
    <w:rPr>
      <w:color w:val="808080"/>
    </w:rPr>
  </w:style>
  <w:style w:type="character" w:customStyle="1" w:styleId="42">
    <w:name w:val="Footer Char"/>
    <w:basedOn w:val="21"/>
    <w:link w:val="14"/>
    <w:uiPriority w:val="99"/>
    <w:rPr>
      <w:color w:val="FFFFFF" w:themeColor="background1"/>
      <w:shd w:val="clear" w:color="auto" w:fill="0072C6" w:themeFill="accent1"/>
      <w14:textFill>
        <w14:solidFill>
          <w14:schemeClr w14:val="bg1"/>
        </w14:solidFill>
      </w14:textFill>
    </w:rPr>
  </w:style>
  <w:style w:type="paragraph" w:styleId="43">
    <w:name w:val="Quote"/>
    <w:basedOn w:val="1"/>
    <w:next w:val="1"/>
    <w:link w:val="44"/>
    <w:unhideWhenUsed/>
    <w:qFormat/>
    <w:uiPriority w:val="29"/>
    <w:pPr>
      <w:spacing w:before="360" w:after="560" w:line="264" w:lineRule="auto"/>
      <w:ind w:left="605" w:right="605"/>
      <w:contextualSpacing/>
    </w:pPr>
    <w:rPr>
      <w:rFonts w:asciiTheme="majorHAnsi" w:hAnsiTheme="majorHAnsi"/>
      <w:i/>
      <w:iCs/>
      <w:color w:val="0072C6" w:themeColor="accent1"/>
      <w:sz w:val="40"/>
      <w14:textFill>
        <w14:solidFill>
          <w14:schemeClr w14:val="accent1"/>
        </w14:solidFill>
      </w14:textFill>
    </w:rPr>
  </w:style>
  <w:style w:type="character" w:customStyle="1" w:styleId="44">
    <w:name w:val="Quote Char"/>
    <w:basedOn w:val="21"/>
    <w:link w:val="43"/>
    <w:uiPriority w:val="29"/>
    <w:rPr>
      <w:rFonts w:asciiTheme="majorHAnsi" w:hAnsiTheme="majorHAnsi"/>
      <w:i/>
      <w:iCs/>
      <w:color w:val="0072C6" w:themeColor="accent1"/>
      <w:sz w:val="40"/>
      <w14:textFill>
        <w14:solidFill>
          <w14:schemeClr w14:val="accent1"/>
        </w14:solidFill>
      </w14:textFill>
    </w:rPr>
  </w:style>
  <w:style w:type="character" w:customStyle="1" w:styleId="45">
    <w:name w:val="Intense Quote Char"/>
    <w:basedOn w:val="21"/>
    <w:link w:val="29"/>
    <w:semiHidden/>
    <w:uiPriority w:val="30"/>
    <w:rPr>
      <w:rFonts w:asciiTheme="majorHAnsi" w:hAnsiTheme="majorHAnsi"/>
      <w:i/>
      <w:iCs/>
      <w:color w:val="F98723" w:themeColor="accent2"/>
      <w:sz w:val="32"/>
      <w14:textFill>
        <w14:solidFill>
          <w14:schemeClr w14:val="accent2"/>
        </w14:solidFill>
      </w14:textFill>
    </w:rPr>
  </w:style>
  <w:style w:type="character" w:customStyle="1" w:styleId="46">
    <w:name w:val="Heading 3 Char"/>
    <w:basedOn w:val="21"/>
    <w:link w:val="4"/>
    <w:uiPriority w:val="9"/>
    <w:rPr>
      <w:rFonts w:asciiTheme="majorHAnsi" w:hAnsiTheme="majorHAnsi" w:eastAsiaTheme="majorEastAsia" w:cstheme="majorBidi"/>
      <w:color w:val="0072C6" w:themeColor="accent1"/>
      <w:sz w:val="34"/>
      <w14:textFill>
        <w14:solidFill>
          <w14:schemeClr w14:val="accent1"/>
        </w14:solidFill>
      </w14:textFill>
    </w:rPr>
  </w:style>
  <w:style w:type="character" w:customStyle="1" w:styleId="47">
    <w:name w:val="Heading 6 Char"/>
    <w:basedOn w:val="21"/>
    <w:link w:val="7"/>
    <w:semiHidden/>
    <w:uiPriority w:val="9"/>
    <w:rPr>
      <w:rFonts w:asciiTheme="majorHAnsi" w:hAnsiTheme="majorHAnsi" w:eastAsiaTheme="majorEastAsia" w:cstheme="majorBidi"/>
      <w:color w:val="0072C6" w:themeColor="accent1"/>
      <w14:textFill>
        <w14:solidFill>
          <w14:schemeClr w14:val="accent1"/>
        </w14:solidFill>
      </w14:textFill>
    </w:rPr>
  </w:style>
  <w:style w:type="paragraph" w:customStyle="1" w:styleId="48">
    <w:name w:val="p1"/>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49">
    <w:name w:val="s1"/>
    <w:basedOn w:val="21"/>
    <w:uiPriority w:val="0"/>
  </w:style>
  <w:style w:type="paragraph" w:customStyle="1" w:styleId="50">
    <w:name w:val="p2"/>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1">
    <w:name w:val="s2"/>
    <w:basedOn w:val="21"/>
    <w:uiPriority w:val="0"/>
  </w:style>
  <w:style w:type="paragraph" w:customStyle="1" w:styleId="52">
    <w:name w:val="p3"/>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paragraph" w:customStyle="1" w:styleId="53">
    <w:name w:val="p5"/>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4">
    <w:name w:val="s3"/>
    <w:basedOn w:val="21"/>
    <w:uiPriority w:val="0"/>
  </w:style>
  <w:style w:type="paragraph" w:customStyle="1" w:styleId="55">
    <w:name w:val="p4"/>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6">
    <w:name w:val="Heading 4 Char"/>
    <w:basedOn w:val="21"/>
    <w:link w:val="5"/>
    <w:semiHidden/>
    <w:uiPriority w:val="9"/>
    <w:rPr>
      <w:rFonts w:asciiTheme="majorHAnsi" w:hAnsiTheme="majorHAnsi" w:eastAsiaTheme="majorEastAsia" w:cstheme="majorBidi"/>
      <w:i/>
      <w:iCs/>
      <w:color w:val="005695"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Users/mengzhang/Library/Containers/com.microsoft.Word/Data/Library/Application%20Support/Microsoft/Office/16.0/DTS/en-AU%7b75601B43-E818-9547-B53B-A459B173F47D%7d/%7b2BC845BD-0E8E-3F45-8CF0-C6FA1565DE76%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Business Paper.dotx</Template>
  <Pages>16</Pages>
  <Words>1341</Words>
  <Characters>8506</Characters>
  <Lines>70</Lines>
  <Paragraphs>19</Paragraphs>
  <TotalTime>6</TotalTime>
  <ScaleCrop>false</ScaleCrop>
  <LinksUpToDate>false</LinksUpToDate>
  <CharactersWithSpaces>9640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2026-01-15T04:40:00Z</dcterms:created>
  <dc:creator>Meng Zhang</dc:creator>
  <cp:lastModifiedBy>萌张</cp:lastModifiedBy>
  <cp:lastPrinted>2026-01-15T05:36:00Z</cp:lastPrinted>
  <dcterms:modified xsi:type="dcterms:W3CDTF">2026-01-27T11:19:48Z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y fmtid="{D5CDD505-2E9C-101B-9397-08002B2CF9AE}" pid="3" name="KSOProductBuildVer">
    <vt:lpwstr>2052-12.1.23152.23152</vt:lpwstr>
  </property>
  <property fmtid="{D5CDD505-2E9C-101B-9397-08002B2CF9AE}" pid="4" name="ICV">
    <vt:lpwstr>48902F74DD53DB6956336B699934C792_42</vt:lpwstr>
  </property>
</Properties>
</file>