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B1632">
      <w:pPr>
        <w:pStyle w:val="3"/>
        <w:jc w:val="center"/>
      </w:pPr>
      <w:r>
        <w:t>ELECTRICAL ASSET RISK &amp; FINANCIAL FORECAST</w:t>
      </w:r>
    </w:p>
    <w:p w14:paraId="3EEDD945">
      <w:pPr>
        <w:jc w:val="center"/>
      </w:pPr>
      <w:r>
        <w:t>Independent Risk Mitigation and Capital Expenditure (CapEx) Strategy for Residential Property Investors</w:t>
      </w:r>
    </w:p>
    <w:p w14:paraId="7FA4F1BF">
      <w:r>
        <w:t xml:space="preserve"> </w:t>
      </w:r>
    </w:p>
    <w:p w14:paraId="5D54DCF1"/>
    <w:p w14:paraId="3AD679B7"/>
    <w:p w14:paraId="6960A2D0"/>
    <w:p w14:paraId="54D92BF8"/>
    <w:p w14:paraId="1FDAF207"/>
    <w:p w14:paraId="0F6157D7"/>
    <w:p w14:paraId="4DD2C1CC"/>
    <w:p w14:paraId="0419FA65"/>
    <w:p w14:paraId="371EFDAA"/>
    <w:p w14:paraId="17CA20E3"/>
    <w:p w14:paraId="17E612E7"/>
    <w:p w14:paraId="71F1DB6F"/>
    <w:p w14:paraId="46105F16">
      <w:bookmarkStart w:id="0" w:name="_GoBack"/>
      <w:bookmarkEnd w:id="0"/>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02C1808">
        <w:tc>
          <w:tcPr>
            <w:tcW w:w="4320" w:type="dxa"/>
            <w:vAlign w:val="center"/>
          </w:tcPr>
          <w:p w14:paraId="4CFB0917">
            <w:pPr>
              <w:spacing w:after="0" w:line="240" w:lineRule="auto"/>
            </w:pPr>
            <w:r>
              <w:rPr>
                <w:b/>
              </w:rPr>
              <w:t>Property address</w:t>
            </w:r>
          </w:p>
        </w:tc>
        <w:tc>
          <w:tcPr>
            <w:tcW w:w="4320" w:type="dxa"/>
            <w:vAlign w:val="center"/>
          </w:tcPr>
          <w:p w14:paraId="214FD3CD">
            <w:pPr>
              <w:spacing w:after="0" w:line="240" w:lineRule="auto"/>
            </w:pPr>
            <w:r>
              <w:t>{{PROPERTY_ADDRESS}}</w:t>
            </w:r>
          </w:p>
        </w:tc>
      </w:tr>
      <w:tr w14:paraId="31DD6E2B">
        <w:tc>
          <w:tcPr>
            <w:tcW w:w="4320" w:type="dxa"/>
            <w:vAlign w:val="center"/>
          </w:tcPr>
          <w:p w14:paraId="2900CFF0">
            <w:pPr>
              <w:spacing w:after="0" w:line="240" w:lineRule="auto"/>
            </w:pPr>
            <w:r>
              <w:rPr>
                <w:b/>
              </w:rPr>
              <w:t>Prepared for</w:t>
            </w:r>
          </w:p>
        </w:tc>
        <w:tc>
          <w:tcPr>
            <w:tcW w:w="4320" w:type="dxa"/>
            <w:vAlign w:val="center"/>
          </w:tcPr>
          <w:p w14:paraId="08ABCA44">
            <w:pPr>
              <w:spacing w:after="0" w:line="240" w:lineRule="auto"/>
            </w:pPr>
            <w:r>
              <w:t>{{CLIENT_NAME}}</w:t>
            </w:r>
          </w:p>
        </w:tc>
      </w:tr>
      <w:tr w14:paraId="0585285A">
        <w:tc>
          <w:tcPr>
            <w:tcW w:w="4320" w:type="dxa"/>
            <w:vAlign w:val="center"/>
          </w:tcPr>
          <w:p w14:paraId="0B8E0BE2">
            <w:pPr>
              <w:spacing w:after="0" w:line="240" w:lineRule="auto"/>
            </w:pPr>
            <w:r>
              <w:rPr>
                <w:b/>
              </w:rPr>
              <w:t>Assessment date</w:t>
            </w:r>
          </w:p>
        </w:tc>
        <w:tc>
          <w:tcPr>
            <w:tcW w:w="4320" w:type="dxa"/>
            <w:vAlign w:val="center"/>
          </w:tcPr>
          <w:p w14:paraId="79F6A147">
            <w:pPr>
              <w:spacing w:after="0" w:line="240" w:lineRule="auto"/>
            </w:pPr>
            <w:r>
              <w:t>{{ASSESSMENT_DATE}}</w:t>
            </w:r>
          </w:p>
        </w:tc>
      </w:tr>
      <w:tr w14:paraId="64B52AFA">
        <w:tc>
          <w:tcPr>
            <w:tcW w:w="4320" w:type="dxa"/>
            <w:vAlign w:val="center"/>
          </w:tcPr>
          <w:p w14:paraId="0E898F85">
            <w:pPr>
              <w:spacing w:after="0" w:line="240" w:lineRule="auto"/>
            </w:pPr>
            <w:r>
              <w:rPr>
                <w:b/>
              </w:rPr>
              <w:t>Report reference</w:t>
            </w:r>
          </w:p>
        </w:tc>
        <w:tc>
          <w:tcPr>
            <w:tcW w:w="4320" w:type="dxa"/>
            <w:vAlign w:val="center"/>
          </w:tcPr>
          <w:p w14:paraId="0AD88F66">
            <w:pPr>
              <w:spacing w:after="0" w:line="240" w:lineRule="auto"/>
            </w:pPr>
            <w:r>
              <w:t>{{REPORT_ID}}</w:t>
            </w:r>
          </w:p>
        </w:tc>
      </w:tr>
      <w:tr w14:paraId="0252CECE">
        <w:tc>
          <w:tcPr>
            <w:tcW w:w="4320" w:type="dxa"/>
            <w:vAlign w:val="center"/>
          </w:tcPr>
          <w:p w14:paraId="6662CCE8">
            <w:pPr>
              <w:spacing w:after="0" w:line="240" w:lineRule="auto"/>
            </w:pPr>
            <w:r>
              <w:rPr>
                <w:b/>
              </w:rPr>
              <w:t>Prepared by</w:t>
            </w:r>
          </w:p>
        </w:tc>
        <w:tc>
          <w:tcPr>
            <w:tcW w:w="4320" w:type="dxa"/>
            <w:vAlign w:val="center"/>
          </w:tcPr>
          <w:p w14:paraId="3086BD43">
            <w:pPr>
              <w:spacing w:after="0" w:line="240" w:lineRule="auto"/>
            </w:pPr>
            <w:r>
              <w:t>Better Home Technology Pty Ltd</w:t>
            </w:r>
          </w:p>
        </w:tc>
      </w:tr>
    </w:tbl>
    <w:p w14:paraId="59A860E6">
      <w:pPr>
        <w:jc w:val="center"/>
      </w:pPr>
      <w:r>
        <w:rPr>
          <w:i/>
        </w:rPr>
        <w:t>100% Independent – No Conflict of Interest</w:t>
      </w:r>
    </w:p>
    <w:p w14:paraId="6C7CF883">
      <w:r>
        <w:t xml:space="preserve"> </w:t>
      </w:r>
    </w:p>
    <w:p w14:paraId="68B69257">
      <w:pPr>
        <w:jc w:val="center"/>
      </w:pPr>
      <w:r>
        <w:t>This report is decision-support only. It is not a repair quote and does not include rectification works.</w:t>
      </w:r>
    </w:p>
    <w:p w14:paraId="1AE25168">
      <w:r>
        <w:br w:type="page"/>
      </w:r>
    </w:p>
    <w:p w14:paraId="13C38123">
      <w:pPr>
        <w:pStyle w:val="3"/>
      </w:pPr>
      <w:r>
        <w:t>Contents</w:t>
      </w:r>
    </w:p>
    <w:p w14:paraId="62527F7C">
      <w:pPr>
        <w:pStyle w:val="14"/>
      </w:pPr>
      <w:r>
        <w:t>1. How to read this report</w:t>
      </w:r>
    </w:p>
    <w:p w14:paraId="72F5408B">
      <w:pPr>
        <w:pStyle w:val="14"/>
      </w:pPr>
      <w:r>
        <w:t>2. Executive decision summary</w:t>
      </w:r>
    </w:p>
    <w:p w14:paraId="605718AE">
      <w:pPr>
        <w:pStyle w:val="14"/>
      </w:pPr>
      <w:r>
        <w:t>3. What this means for you</w:t>
      </w:r>
    </w:p>
    <w:p w14:paraId="41123775">
      <w:pPr>
        <w:pStyle w:val="14"/>
      </w:pPr>
      <w:r>
        <w:t>4. Scope and independence statement</w:t>
      </w:r>
    </w:p>
    <w:p w14:paraId="5D6981BC">
      <w:pPr>
        <w:pStyle w:val="14"/>
      </w:pPr>
      <w:r>
        <w:t>5. Methodology overview</w:t>
      </w:r>
    </w:p>
    <w:p w14:paraId="4DED1E4E">
      <w:pPr>
        <w:pStyle w:val="14"/>
      </w:pPr>
      <w:r>
        <w:t>6. Observations and evidence</w:t>
      </w:r>
    </w:p>
    <w:p w14:paraId="24EEDB80">
      <w:pPr>
        <w:pStyle w:val="14"/>
      </w:pPr>
      <w:r>
        <w:t>7. Risk prioritisation framework</w:t>
      </w:r>
    </w:p>
    <w:p w14:paraId="37D6C0B3">
      <w:pPr>
        <w:pStyle w:val="14"/>
      </w:pPr>
      <w:r>
        <w:t>8. 5-year CapEx roadmap (budget plan)</w:t>
      </w:r>
    </w:p>
    <w:p w14:paraId="2BFB3EA4">
      <w:pPr>
        <w:pStyle w:val="14"/>
      </w:pPr>
      <w:r>
        <w:t>9. Owner decision pathways</w:t>
      </w:r>
    </w:p>
    <w:p w14:paraId="788F1B58">
      <w:pPr>
        <w:pStyle w:val="14"/>
      </w:pPr>
      <w:r>
        <w:t>10. Terms, limitations and legal framework</w:t>
      </w:r>
    </w:p>
    <w:p w14:paraId="1D4F4593">
      <w:pPr>
        <w:pStyle w:val="14"/>
      </w:pPr>
      <w:r>
        <w:t>11. Appendix (photos and test notes)</w:t>
      </w:r>
    </w:p>
    <w:p w14:paraId="189139E4">
      <w:r>
        <w:br w:type="page"/>
      </w:r>
    </w:p>
    <w:p w14:paraId="3934D509">
      <w:pPr>
        <w:pStyle w:val="3"/>
      </w:pPr>
      <w:r>
        <w:t>1. How to read this report</w:t>
      </w:r>
    </w:p>
    <w:p w14:paraId="51930BFB">
      <w:r>
        <w:t>This report is designed to help you make electrical decisions with clarity and confidence. It separates (a) what was observed, (b) what it means from a risk perspective, and (c) what to plan for financially.</w:t>
      </w:r>
    </w:p>
    <w:p w14:paraId="447CAD75">
      <w:r>
        <w:t>In practice, most owners should:</w:t>
      </w:r>
    </w:p>
    <w:p w14:paraId="6B56E31B">
      <w:pPr>
        <w:pStyle w:val="16"/>
      </w:pPr>
      <w:r>
        <w:t>Read Page 4–5 first (Executive decision summary + What this means).</w:t>
      </w:r>
    </w:p>
    <w:p w14:paraId="414ACCE2">
      <w:pPr>
        <w:pStyle w:val="16"/>
      </w:pPr>
      <w:r>
        <w:t>Use the CapEx roadmap to set a realistic budget provision for the next 0–5 years.</w:t>
      </w:r>
    </w:p>
    <w:p w14:paraId="0E7C09A9">
      <w:pPr>
        <w:pStyle w:val="16"/>
      </w:pPr>
      <w:r>
        <w:t>Only read the evidence section if you want the underlying observations and photos.</w:t>
      </w:r>
    </w:p>
    <w:p w14:paraId="777F4988">
      <w:r>
        <w:br w:type="page"/>
      </w:r>
    </w:p>
    <w:p w14:paraId="2652A807">
      <w:pPr>
        <w:pStyle w:val="3"/>
      </w:pPr>
      <w:r>
        <w:t>2. Executive decision summary</w:t>
      </w:r>
    </w:p>
    <w:p w14:paraId="67A44782">
      <w:pPr>
        <w:pStyle w:val="4"/>
      </w:pPr>
      <w:r>
        <w:t>Overall risk position</w:t>
      </w:r>
    </w:p>
    <w:p w14:paraId="1BA7674F">
      <w:r>
        <w:t>Overall electrical risk profile: MODERATE.</w:t>
      </w:r>
    </w:p>
    <w:p w14:paraId="45A7ECBF">
      <w:r>
        <w:t>No immediate safety hazard was identified at the time of assessment. However, several items warrant planned attention to reduce future disruption and avoid reactive repairs.</w:t>
      </w:r>
    </w:p>
    <w:p w14:paraId="2CB8DED6">
      <w:pPr>
        <w:pStyle w:val="4"/>
      </w:pPr>
      <w:r>
        <w:t>Priority snapshot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BFB4BDA">
        <w:tc>
          <w:tcPr>
            <w:tcW w:w="2880" w:type="dxa"/>
          </w:tcPr>
          <w:p w14:paraId="4C31BC7F">
            <w:pPr>
              <w:spacing w:after="0" w:line="240" w:lineRule="auto"/>
            </w:pPr>
            <w:r>
              <w:rPr>
                <w:b/>
              </w:rPr>
              <w:t>Priority</w:t>
            </w:r>
          </w:p>
        </w:tc>
        <w:tc>
          <w:tcPr>
            <w:tcW w:w="2880" w:type="dxa"/>
          </w:tcPr>
          <w:p w14:paraId="28F955C2">
            <w:pPr>
              <w:spacing w:after="0" w:line="240" w:lineRule="auto"/>
            </w:pPr>
            <w:r>
              <w:rPr>
                <w:b/>
              </w:rPr>
              <w:t>Meaning</w:t>
            </w:r>
          </w:p>
        </w:tc>
        <w:tc>
          <w:tcPr>
            <w:tcW w:w="2880" w:type="dxa"/>
          </w:tcPr>
          <w:p w14:paraId="706B1ECE">
            <w:pPr>
              <w:spacing w:after="0" w:line="240" w:lineRule="auto"/>
            </w:pPr>
            <w:r>
              <w:rPr>
                <w:b/>
              </w:rPr>
              <w:t>Investor interpretation</w:t>
            </w:r>
          </w:p>
        </w:tc>
      </w:tr>
      <w:tr w14:paraId="65E7FF1A">
        <w:tc>
          <w:tcPr>
            <w:tcW w:w="2880" w:type="dxa"/>
          </w:tcPr>
          <w:p w14:paraId="266F63E1">
            <w:pPr>
              <w:spacing w:after="0" w:line="240" w:lineRule="auto"/>
            </w:pPr>
            <w:r>
              <w:t>Urgent liability risk</w:t>
            </w:r>
          </w:p>
        </w:tc>
        <w:tc>
          <w:tcPr>
            <w:tcW w:w="2880" w:type="dxa"/>
          </w:tcPr>
          <w:p w14:paraId="718C9DFF">
            <w:pPr>
              <w:spacing w:after="0" w:line="240" w:lineRule="auto"/>
            </w:pPr>
            <w:r>
              <w:t>Immediate action required to reduce safety/legal exposure</w:t>
            </w:r>
          </w:p>
        </w:tc>
        <w:tc>
          <w:tcPr>
            <w:tcW w:w="2880" w:type="dxa"/>
          </w:tcPr>
          <w:p w14:paraId="6E51581D">
            <w:pPr>
              <w:spacing w:after="0" w:line="240" w:lineRule="auto"/>
            </w:pPr>
            <w:r>
              <w:t>Do not defer. Treat as time-critical risk control.</w:t>
            </w:r>
          </w:p>
        </w:tc>
      </w:tr>
      <w:tr w14:paraId="1BA5CAEB">
        <w:tc>
          <w:tcPr>
            <w:tcW w:w="2880" w:type="dxa"/>
          </w:tcPr>
          <w:p w14:paraId="3189063A">
            <w:pPr>
              <w:spacing w:after="0" w:line="240" w:lineRule="auto"/>
            </w:pPr>
            <w:r>
              <w:t>Budgetary provision recommended</w:t>
            </w:r>
          </w:p>
        </w:tc>
        <w:tc>
          <w:tcPr>
            <w:tcW w:w="2880" w:type="dxa"/>
          </w:tcPr>
          <w:p w14:paraId="34799739">
            <w:pPr>
              <w:spacing w:after="0" w:line="240" w:lineRule="auto"/>
            </w:pPr>
            <w:r>
              <w:t>No active fault detected, but upgrade is advisable within an asset cycle</w:t>
            </w:r>
          </w:p>
        </w:tc>
        <w:tc>
          <w:tcPr>
            <w:tcW w:w="2880" w:type="dxa"/>
          </w:tcPr>
          <w:p w14:paraId="3BD3A638">
            <w:pPr>
              <w:spacing w:after="0" w:line="240" w:lineRule="auto"/>
            </w:pPr>
            <w:r>
              <w:t>Plan into CapEx and schedule within the stated window.</w:t>
            </w:r>
          </w:p>
        </w:tc>
      </w:tr>
      <w:tr w14:paraId="0EE145C9">
        <w:tc>
          <w:tcPr>
            <w:tcW w:w="2880" w:type="dxa"/>
          </w:tcPr>
          <w:p w14:paraId="015F9A21">
            <w:pPr>
              <w:spacing w:after="0" w:line="240" w:lineRule="auto"/>
            </w:pPr>
            <w:r>
              <w:t>Monitor / Acceptable</w:t>
            </w:r>
          </w:p>
        </w:tc>
        <w:tc>
          <w:tcPr>
            <w:tcW w:w="2880" w:type="dxa"/>
          </w:tcPr>
          <w:p w14:paraId="00CC2745">
            <w:pPr>
              <w:spacing w:after="0" w:line="240" w:lineRule="auto"/>
            </w:pPr>
            <w:r>
              <w:t>No action required at this stage; revisit at next review or renovation</w:t>
            </w:r>
          </w:p>
        </w:tc>
        <w:tc>
          <w:tcPr>
            <w:tcW w:w="2880" w:type="dxa"/>
          </w:tcPr>
          <w:p w14:paraId="7C9E924D">
            <w:pPr>
              <w:spacing w:after="0" w:line="240" w:lineRule="auto"/>
            </w:pPr>
            <w:r>
              <w:t>Keep on watchlist; avoid unnecessary spend now.</w:t>
            </w:r>
          </w:p>
        </w:tc>
      </w:tr>
    </w:tbl>
    <w:p w14:paraId="0E40E0C9">
      <w:pPr>
        <w:pStyle w:val="4"/>
      </w:pPr>
      <w:r>
        <w:t>Total estimated CapEx provision (0–5 years)</w:t>
      </w:r>
    </w:p>
    <w:p w14:paraId="1EC79E9B">
      <w:r>
        <w:t>AUD $2,400 – $3,200 (budgetary provision recommended).</w:t>
      </w:r>
    </w:p>
    <w:p w14:paraId="20FC457E">
      <w:r>
        <w:br w:type="page"/>
      </w:r>
    </w:p>
    <w:p w14:paraId="1625B90A">
      <w:pPr>
        <w:pStyle w:val="3"/>
      </w:pPr>
      <w:r>
        <w:t>3. What this means for you</w:t>
      </w:r>
    </w:p>
    <w:p w14:paraId="183CF158">
      <w:pPr>
        <w:pStyle w:val="4"/>
      </w:pPr>
      <w:r>
        <w:t>What requires action now</w:t>
      </w:r>
    </w:p>
    <w:p w14:paraId="113F5A27">
      <w:r>
        <w:t>No urgent liability risks identified.</w:t>
      </w:r>
    </w:p>
    <w:p w14:paraId="1CB2C415">
      <w:pPr>
        <w:pStyle w:val="4"/>
      </w:pPr>
      <w:r>
        <w:t>What should be planned (to avoid future disruption)</w:t>
      </w:r>
    </w:p>
    <w:p w14:paraId="3F650CA4">
      <w:pPr>
        <w:pStyle w:val="16"/>
      </w:pPr>
      <w:r>
        <w:t>Switchboard modernisation is recommended within 12–24 months to improve protection (RCBO / RCD coverage).</w:t>
      </w:r>
    </w:p>
    <w:p w14:paraId="7B4E0F70">
      <w:pPr>
        <w:pStyle w:val="16"/>
      </w:pPr>
      <w:r>
        <w:t>Standardise smoke alarm compliance and remaining service life across bedrooms and common areas within 6–18 months.</w:t>
      </w:r>
    </w:p>
    <w:p w14:paraId="42CC7DC5">
      <w:pPr>
        <w:pStyle w:val="4"/>
      </w:pPr>
      <w:r>
        <w:t xml:space="preserve">What can wait (monitor) </w:t>
      </w:r>
    </w:p>
    <w:p w14:paraId="47E68871">
      <w:r>
        <w:t>Some lighting circuits may lack RCD protection. This can be addressed during the next renovation or scheduled electrical works.</w:t>
      </w:r>
    </w:p>
    <w:p w14:paraId="4DF5B30E">
      <w:pPr>
        <w:pStyle w:val="4"/>
      </w:pPr>
      <w:r>
        <w:t>Decision confidence statement</w:t>
      </w:r>
    </w:p>
    <w:p w14:paraId="415BC4EF">
      <w:r>
        <w:t>This report is intended to reduce decision uncertainty. If you obtain contractor quotes, you can use the observations and priorities here to challenge scope creep and avoid unnecessary upgrades.</w:t>
      </w:r>
    </w:p>
    <w:p w14:paraId="37E970D5">
      <w:r>
        <w:br w:type="page"/>
      </w:r>
    </w:p>
    <w:p w14:paraId="7B1AF6C1">
      <w:pPr>
        <w:pStyle w:val="3"/>
      </w:pPr>
      <w:r>
        <w:t>4. Scope and independence statement</w:t>
      </w:r>
    </w:p>
    <w:p w14:paraId="5EDB5239">
      <w:pPr>
        <w:pStyle w:val="4"/>
      </w:pPr>
      <w:r>
        <w:t>Included</w:t>
      </w:r>
    </w:p>
    <w:p w14:paraId="5615B2FB">
      <w:pPr>
        <w:pStyle w:val="16"/>
      </w:pPr>
      <w:r>
        <w:t>Independent, non-destructive, point-in-time assessment of accessible electrical assets.</w:t>
      </w:r>
    </w:p>
    <w:p w14:paraId="47ADDA80">
      <w:pPr>
        <w:pStyle w:val="16"/>
      </w:pPr>
      <w:r>
        <w:t>Visual observations and functional checks where safely accessible.</w:t>
      </w:r>
    </w:p>
    <w:p w14:paraId="663412C4">
      <w:pPr>
        <w:pStyle w:val="16"/>
      </w:pPr>
      <w:r>
        <w:t>Risk prioritisation and decision guidance, including a budgetary CapEx roadmap.</w:t>
      </w:r>
    </w:p>
    <w:p w14:paraId="7B80BC06">
      <w:pPr>
        <w:pStyle w:val="4"/>
      </w:pPr>
      <w:r>
        <w:t>Excluded</w:t>
      </w:r>
    </w:p>
    <w:p w14:paraId="3B213344">
      <w:pPr>
        <w:pStyle w:val="16"/>
      </w:pPr>
      <w:r>
        <w:t>No rectification works are provided as part of this report.</w:t>
      </w:r>
    </w:p>
    <w:p w14:paraId="0A6C8147">
      <w:pPr>
        <w:pStyle w:val="16"/>
      </w:pPr>
      <w:r>
        <w:t>No binding quotations are provided. Any figures are budgetary benchmarks only.</w:t>
      </w:r>
    </w:p>
    <w:p w14:paraId="46F2203D">
      <w:pPr>
        <w:pStyle w:val="16"/>
      </w:pPr>
      <w:r>
        <w:t>No intrusive testing, roof cavity clearing, or structural / plumbing / roofing assessment.</w:t>
      </w:r>
    </w:p>
    <w:p w14:paraId="05E33557">
      <w:pPr>
        <w:pStyle w:val="4"/>
      </w:pPr>
      <w:r>
        <w:t>Independence position</w:t>
      </w:r>
    </w:p>
    <w:p w14:paraId="0DBA978D">
      <w:r>
        <w:t>Better Home Technology Pty Ltd does not perform the repair works arising from this report. This separation preserves independence and removes financial incentives that could influence recommendations.</w:t>
      </w:r>
    </w:p>
    <w:p w14:paraId="0AD6F2D8">
      <w:r>
        <w:br w:type="page"/>
      </w:r>
    </w:p>
    <w:p w14:paraId="44765C75">
      <w:pPr>
        <w:pStyle w:val="3"/>
      </w:pPr>
      <w:r>
        <w:t>5. Methodology overview</w:t>
      </w:r>
    </w:p>
    <w:p w14:paraId="16C64A22">
      <w:pPr>
        <w:pStyle w:val="16"/>
      </w:pPr>
      <w:r>
        <w:t>Visual review of accessible components (switchboard, outlets, smoke alarms, visible cabling, labels).</w:t>
      </w:r>
    </w:p>
    <w:p w14:paraId="00117487">
      <w:pPr>
        <w:pStyle w:val="16"/>
      </w:pPr>
      <w:r>
        <w:t>Functional checks where appropriate (RCD test button, sample outlet polarity/earth continuity where accessible).</w:t>
      </w:r>
    </w:p>
    <w:p w14:paraId="7FDBA24F">
      <w:pPr>
        <w:pStyle w:val="16"/>
      </w:pPr>
      <w:r>
        <w:t>Thermal imaging (if performed) to identify abnormal heat signatures under typical load conditions.</w:t>
      </w:r>
    </w:p>
    <w:p w14:paraId="54250845">
      <w:pPr>
        <w:pStyle w:val="16"/>
      </w:pPr>
      <w:r>
        <w:t>Risk classification based on likelihood of escalation + consequence to safety/legal exposure + timing flexibility.</w:t>
      </w:r>
    </w:p>
    <w:p w14:paraId="33F0B134">
      <w:r>
        <w:br w:type="page"/>
      </w:r>
    </w:p>
    <w:p w14:paraId="5D897413">
      <w:pPr>
        <w:pStyle w:val="3"/>
      </w:pPr>
      <w:r>
        <w:t>6. Observations and evidence — Main switchboard</w:t>
      </w:r>
    </w:p>
    <w:p w14:paraId="03E8DAF5">
      <w:pPr>
        <w:pStyle w:val="4"/>
      </w:pPr>
      <w:r>
        <w:t>Observed condition</w:t>
      </w:r>
    </w:p>
    <w:p w14:paraId="67279874">
      <w:pPr>
        <w:pStyle w:val="16"/>
      </w:pPr>
      <w:r>
        <w:t>Older board with limited modern protection.</w:t>
      </w:r>
    </w:p>
    <w:p w14:paraId="6E3A6D3B">
      <w:pPr>
        <w:pStyle w:val="16"/>
      </w:pPr>
      <w:r>
        <w:t>RCBO protection not present on key circuits.</w:t>
      </w:r>
    </w:p>
    <w:p w14:paraId="3B9E9F7F">
      <w:pPr>
        <w:pStyle w:val="16"/>
      </w:pPr>
      <w:r>
        <w:t>Labelling is partial and may not reflect circuit changes over time.</w:t>
      </w:r>
    </w:p>
    <w:p w14:paraId="6F1432F3">
      <w:pPr>
        <w:pStyle w:val="4"/>
      </w:pPr>
      <w:r>
        <w:t>Evidence</w:t>
      </w:r>
    </w:p>
    <w:p w14:paraId="25D420FF">
      <w:pPr>
        <w:pStyle w:val="16"/>
      </w:pPr>
      <w:r>
        <w:t>Photo: switchboard layout (Appendix).</w:t>
      </w:r>
    </w:p>
    <w:p w14:paraId="54133633">
      <w:pPr>
        <w:pStyle w:val="16"/>
      </w:pPr>
      <w:r>
        <w:t>No abnormal heat signature observed during thermal scan (if performed).</w:t>
      </w:r>
    </w:p>
    <w:p w14:paraId="1E182930">
      <w:pPr>
        <w:pStyle w:val="4"/>
      </w:pPr>
      <w:r>
        <w:t>Risk interpretation</w:t>
      </w:r>
    </w:p>
    <w:p w14:paraId="028855AD">
      <w:r>
        <w:t>The board was operational at the time of assessment. The primary risk is not an active fault, but reduced fault protection and future failure likelihood as components age. From an asset risk perspective, modernisation is best scheduled proactively to avoid reactive call-outs and to improve safety margins.</w:t>
      </w:r>
    </w:p>
    <w:p w14:paraId="351B587B">
      <w:pPr>
        <w:pStyle w:val="4"/>
      </w:pPr>
      <w:r>
        <w:t>Priority classification</w:t>
      </w:r>
    </w:p>
    <w:p w14:paraId="6D9C5D3E">
      <w:r>
        <w:t>Budgetary provision recommended (12–24 months). Not classified as urgent because no active fault condition was detected at the time of assessment.</w:t>
      </w:r>
    </w:p>
    <w:p w14:paraId="77AAC4C3">
      <w:pPr>
        <w:pStyle w:val="4"/>
      </w:pPr>
      <w:r>
        <w:t>Budgetary range (planning only)</w:t>
      </w:r>
    </w:p>
    <w:p w14:paraId="50135D97">
      <w:r>
        <w:t>AUD $1,800–$2,800</w:t>
      </w:r>
    </w:p>
    <w:p w14:paraId="0F7BE939">
      <w:r>
        <w:br w:type="page"/>
      </w:r>
    </w:p>
    <w:p w14:paraId="039032F0">
      <w:pPr>
        <w:pStyle w:val="3"/>
      </w:pPr>
      <w:r>
        <w:t>6. Observations and evidence — RCD coverage</w:t>
      </w:r>
    </w:p>
    <w:p w14:paraId="04E8EF99">
      <w:pPr>
        <w:pStyle w:val="4"/>
      </w:pPr>
      <w:r>
        <w:t>Observed condition</w:t>
      </w:r>
    </w:p>
    <w:p w14:paraId="2C29EE40">
      <w:pPr>
        <w:pStyle w:val="16"/>
      </w:pPr>
      <w:r>
        <w:t>RCD protection coverage varies between circuits.</w:t>
      </w:r>
    </w:p>
    <w:p w14:paraId="0788C0B2">
      <w:pPr>
        <w:pStyle w:val="16"/>
      </w:pPr>
      <w:r>
        <w:t>Some circuits may not be RCD-protected (verification limited without intrusive testing).</w:t>
      </w:r>
    </w:p>
    <w:p w14:paraId="0987C2D5">
      <w:pPr>
        <w:pStyle w:val="4"/>
      </w:pPr>
      <w:r>
        <w:t>Evidence</w:t>
      </w:r>
    </w:p>
    <w:p w14:paraId="64539E8B">
      <w:pPr>
        <w:pStyle w:val="16"/>
      </w:pPr>
      <w:r>
        <w:t>Test: RCD test button functional on installed devices.</w:t>
      </w:r>
    </w:p>
    <w:p w14:paraId="6FA56FDC">
      <w:pPr>
        <w:pStyle w:val="16"/>
      </w:pPr>
      <w:r>
        <w:t>Sample circuit checks performed where accessible.</w:t>
      </w:r>
    </w:p>
    <w:p w14:paraId="4E4EB67C">
      <w:pPr>
        <w:pStyle w:val="4"/>
      </w:pPr>
      <w:r>
        <w:t>Risk interpretation</w:t>
      </w:r>
    </w:p>
    <w:p w14:paraId="54CD9887">
      <w:r>
        <w:t>Where RCD coverage is incomplete, the consequence of a fault can be higher, particularly in wet areas or outdoor circuits. This is typically managed as planned improvement rather than urgent rectification unless an active defect is present.</w:t>
      </w:r>
    </w:p>
    <w:p w14:paraId="565AEADB">
      <w:pPr>
        <w:pStyle w:val="4"/>
      </w:pPr>
      <w:r>
        <w:t>Priority classification</w:t>
      </w:r>
    </w:p>
    <w:p w14:paraId="12747619">
      <w:r>
        <w:t>Budgetary provision recommended.</w:t>
      </w:r>
    </w:p>
    <w:p w14:paraId="1C69DF1B">
      <w:pPr>
        <w:pStyle w:val="4"/>
      </w:pPr>
      <w:r>
        <w:t>Budgetary range (planning only)</w:t>
      </w:r>
    </w:p>
    <w:p w14:paraId="00069254">
      <w:r>
        <w:t>AUD $600–$1,200 (depending on final circuit count and board configuration)</w:t>
      </w:r>
    </w:p>
    <w:p w14:paraId="2FEE2E0A">
      <w:r>
        <w:br w:type="page"/>
      </w:r>
    </w:p>
    <w:p w14:paraId="56D38D1D">
      <w:pPr>
        <w:pStyle w:val="3"/>
      </w:pPr>
      <w:r>
        <w:t>6. Observations and evidence — General power outlet (sample)</w:t>
      </w:r>
    </w:p>
    <w:p w14:paraId="59FC4637">
      <w:pPr>
        <w:pStyle w:val="4"/>
      </w:pPr>
      <w:r>
        <w:t>Observed condition</w:t>
      </w:r>
    </w:p>
    <w:p w14:paraId="30C03ECB">
      <w:pPr>
        <w:pStyle w:val="16"/>
      </w:pPr>
      <w:r>
        <w:t>One outlet observed to be mechanically loose (movement in wall plate).</w:t>
      </w:r>
    </w:p>
    <w:p w14:paraId="7561C07A">
      <w:pPr>
        <w:pStyle w:val="16"/>
      </w:pPr>
      <w:r>
        <w:t>No scorching or heat damage visible.</w:t>
      </w:r>
    </w:p>
    <w:p w14:paraId="4B5B4DB4">
      <w:pPr>
        <w:pStyle w:val="4"/>
      </w:pPr>
      <w:r>
        <w:t>Evidence</w:t>
      </w:r>
    </w:p>
    <w:p w14:paraId="525C8FFE">
      <w:pPr>
        <w:pStyle w:val="16"/>
      </w:pPr>
      <w:r>
        <w:t>Photo: outlet faceplate.</w:t>
      </w:r>
    </w:p>
    <w:p w14:paraId="73A22B89">
      <w:pPr>
        <w:pStyle w:val="16"/>
      </w:pPr>
      <w:r>
        <w:t>Thermal check: no hotspot detected at time of visit.</w:t>
      </w:r>
    </w:p>
    <w:p w14:paraId="64547A40">
      <w:pPr>
        <w:pStyle w:val="4"/>
      </w:pPr>
      <w:r>
        <w:t>Risk interpretation</w:t>
      </w:r>
    </w:p>
    <w:p w14:paraId="0BD9F420">
      <w:r>
        <w:t>This condition does not present an immediate hazard based on current evidence. However, continued looseness can increase contact resistance over time, which elevates the likelihood of overheating or intermittent failure. Proactive tightening/repair is recommended to prevent escalation.</w:t>
      </w:r>
    </w:p>
    <w:p w14:paraId="2A06BBAF">
      <w:pPr>
        <w:pStyle w:val="4"/>
      </w:pPr>
      <w:r>
        <w:t>Priority classification</w:t>
      </w:r>
    </w:p>
    <w:p w14:paraId="1440B530">
      <w:r>
        <w:t>Budgetary provision recommended (0–3 months). Not urgent due to absence of heat damage or active fault indicators.</w:t>
      </w:r>
    </w:p>
    <w:p w14:paraId="08C7AD2A">
      <w:pPr>
        <w:pStyle w:val="4"/>
      </w:pPr>
      <w:r>
        <w:t>Budgetary range (planning only)</w:t>
      </w:r>
    </w:p>
    <w:p w14:paraId="42B31FFE">
      <w:r>
        <w:t>AUD $180–$420</w:t>
      </w:r>
    </w:p>
    <w:p w14:paraId="41605A23">
      <w:r>
        <w:br w:type="page"/>
      </w:r>
    </w:p>
    <w:p w14:paraId="508FCDD0">
      <w:pPr>
        <w:pStyle w:val="3"/>
      </w:pPr>
      <w:r>
        <w:t>7. Risk prioritisation framework</w:t>
      </w:r>
    </w:p>
    <w:p w14:paraId="3B5D5DC7">
      <w:pPr>
        <w:pStyle w:val="4"/>
      </w:pPr>
      <w:r>
        <w:t>How priorities are assigned</w:t>
      </w:r>
    </w:p>
    <w:p w14:paraId="1A35A8A8">
      <w:r>
        <w:t>Priority is assigned using a practical investor lens: (1) likelihood of escalation, (2) consequence to safety/legal exposure, and (3) timing flexibility. A higher priority does not necessarily mean higher cost; it means lower tolerance for delay.</w:t>
      </w:r>
    </w:p>
    <w:p w14:paraId="3C3501B7">
      <w:pPr>
        <w:pStyle w:val="4"/>
      </w:pPr>
      <w:r>
        <w:t>Definitions</w:t>
      </w:r>
    </w:p>
    <w:p w14:paraId="5D6EE22C">
      <w:r>
        <w:rPr>
          <w:b/>
        </w:rPr>
        <w:t xml:space="preserve">Urgent liability risk: </w:t>
      </w:r>
      <w:r>
        <w:t>Active or probable near-term risk that may expose the owner/agent to safety or legal liability.</w:t>
      </w:r>
    </w:p>
    <w:p w14:paraId="534553EA">
      <w:r>
        <w:rPr>
          <w:b/>
        </w:rPr>
        <w:t xml:space="preserve">Budgetary provision recommended: </w:t>
      </w:r>
      <w:r>
        <w:t>No active fault detected, but planned works are advisable within a defined window to reduce future risk and avoid disruption.</w:t>
      </w:r>
    </w:p>
    <w:p w14:paraId="288A690A">
      <w:r>
        <w:rPr>
          <w:b/>
        </w:rPr>
        <w:t xml:space="preserve">Monitor / Acceptable: </w:t>
      </w:r>
      <w:r>
        <w:t>No action required now. Revisit at next review or during planned renovations.</w:t>
      </w:r>
    </w:p>
    <w:p w14:paraId="2C9F0B49">
      <w:r>
        <w:br w:type="page"/>
      </w:r>
    </w:p>
    <w:p w14:paraId="2AA7D1C1">
      <w:pPr>
        <w:pStyle w:val="3"/>
      </w:pPr>
      <w:r>
        <w:t>8. 5-year CapEx roadmap (budget plan)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2414941">
        <w:tc>
          <w:tcPr>
            <w:tcW w:w="1728" w:type="dxa"/>
          </w:tcPr>
          <w:p w14:paraId="3ACEB561">
            <w:pPr>
              <w:spacing w:after="0" w:line="240" w:lineRule="auto"/>
            </w:pPr>
            <w:r>
              <w:rPr>
                <w:b/>
              </w:rPr>
              <w:t>Asset item</w:t>
            </w:r>
          </w:p>
        </w:tc>
        <w:tc>
          <w:tcPr>
            <w:tcW w:w="1728" w:type="dxa"/>
          </w:tcPr>
          <w:p w14:paraId="0ACD74F5">
            <w:pPr>
              <w:spacing w:after="0" w:line="240" w:lineRule="auto"/>
            </w:pPr>
            <w:r>
              <w:rPr>
                <w:b/>
              </w:rPr>
              <w:t>Current condition</w:t>
            </w:r>
          </w:p>
        </w:tc>
        <w:tc>
          <w:tcPr>
            <w:tcW w:w="1728" w:type="dxa"/>
          </w:tcPr>
          <w:p w14:paraId="072B2327">
            <w:pPr>
              <w:spacing w:after="0" w:line="240" w:lineRule="auto"/>
            </w:pPr>
            <w:r>
              <w:rPr>
                <w:b/>
              </w:rPr>
              <w:t>Priority</w:t>
            </w:r>
          </w:p>
        </w:tc>
        <w:tc>
          <w:tcPr>
            <w:tcW w:w="1728" w:type="dxa"/>
          </w:tcPr>
          <w:p w14:paraId="604120B5">
            <w:pPr>
              <w:spacing w:after="0" w:line="240" w:lineRule="auto"/>
            </w:pPr>
            <w:r>
              <w:rPr>
                <w:b/>
              </w:rPr>
              <w:t>Suggested timeline</w:t>
            </w:r>
          </w:p>
        </w:tc>
        <w:tc>
          <w:tcPr>
            <w:tcW w:w="1728" w:type="dxa"/>
          </w:tcPr>
          <w:p w14:paraId="1ED2EF40">
            <w:pPr>
              <w:spacing w:after="0" w:line="240" w:lineRule="auto"/>
            </w:pPr>
            <w:r>
              <w:rPr>
                <w:b/>
              </w:rPr>
              <w:t>Budgetary range (AUD)</w:t>
            </w:r>
          </w:p>
        </w:tc>
      </w:tr>
      <w:tr w14:paraId="4D004A8D">
        <w:tc>
          <w:tcPr>
            <w:tcW w:w="1728" w:type="dxa"/>
          </w:tcPr>
          <w:p w14:paraId="7430FE10">
            <w:pPr>
              <w:spacing w:after="0" w:line="240" w:lineRule="auto"/>
            </w:pPr>
            <w:r>
              <w:t>Main switchboard</w:t>
            </w:r>
          </w:p>
        </w:tc>
        <w:tc>
          <w:tcPr>
            <w:tcW w:w="1728" w:type="dxa"/>
          </w:tcPr>
          <w:p w14:paraId="61FFDC4D">
            <w:pPr>
              <w:spacing w:after="0" w:line="240" w:lineRule="auto"/>
            </w:pPr>
            <w:r>
              <w:t>Aged board; no RCBO; limited RCD coverage</w:t>
            </w:r>
          </w:p>
        </w:tc>
        <w:tc>
          <w:tcPr>
            <w:tcW w:w="1728" w:type="dxa"/>
          </w:tcPr>
          <w:p w14:paraId="79291B11">
            <w:pPr>
              <w:spacing w:after="0" w:line="240" w:lineRule="auto"/>
            </w:pPr>
            <w:r>
              <w:t>Budgetary provision recommended</w:t>
            </w:r>
          </w:p>
        </w:tc>
        <w:tc>
          <w:tcPr>
            <w:tcW w:w="1728" w:type="dxa"/>
          </w:tcPr>
          <w:p w14:paraId="3C02AA8E">
            <w:pPr>
              <w:spacing w:after="0" w:line="240" w:lineRule="auto"/>
            </w:pPr>
            <w:r>
              <w:t>12–24 months</w:t>
            </w:r>
          </w:p>
        </w:tc>
        <w:tc>
          <w:tcPr>
            <w:tcW w:w="1728" w:type="dxa"/>
          </w:tcPr>
          <w:p w14:paraId="40E00816">
            <w:pPr>
              <w:spacing w:after="0" w:line="240" w:lineRule="auto"/>
            </w:pPr>
            <w:r>
              <w:t>$1,800–$2,800</w:t>
            </w:r>
          </w:p>
        </w:tc>
      </w:tr>
      <w:tr w14:paraId="617545BE">
        <w:tc>
          <w:tcPr>
            <w:tcW w:w="1728" w:type="dxa"/>
          </w:tcPr>
          <w:p w14:paraId="1B8487FF">
            <w:pPr>
              <w:spacing w:after="0" w:line="240" w:lineRule="auto"/>
            </w:pPr>
            <w:r>
              <w:t>Smoke alarms</w:t>
            </w:r>
          </w:p>
        </w:tc>
        <w:tc>
          <w:tcPr>
            <w:tcW w:w="1728" w:type="dxa"/>
          </w:tcPr>
          <w:p w14:paraId="391E6C41">
            <w:pPr>
              <w:spacing w:after="0" w:line="240" w:lineRule="auto"/>
            </w:pPr>
            <w:r>
              <w:t>Service life approaching; mixed types across rooms</w:t>
            </w:r>
          </w:p>
        </w:tc>
        <w:tc>
          <w:tcPr>
            <w:tcW w:w="1728" w:type="dxa"/>
          </w:tcPr>
          <w:p w14:paraId="0992F60E">
            <w:pPr>
              <w:spacing w:after="0" w:line="240" w:lineRule="auto"/>
            </w:pPr>
            <w:r>
              <w:t>Budgetary provision recommended</w:t>
            </w:r>
          </w:p>
        </w:tc>
        <w:tc>
          <w:tcPr>
            <w:tcW w:w="1728" w:type="dxa"/>
          </w:tcPr>
          <w:p w14:paraId="7AE171C9">
            <w:pPr>
              <w:spacing w:after="0" w:line="240" w:lineRule="auto"/>
            </w:pPr>
            <w:r>
              <w:t>6–18 months</w:t>
            </w:r>
          </w:p>
        </w:tc>
        <w:tc>
          <w:tcPr>
            <w:tcW w:w="1728" w:type="dxa"/>
          </w:tcPr>
          <w:p w14:paraId="2F41BAF2">
            <w:pPr>
              <w:spacing w:after="0" w:line="240" w:lineRule="auto"/>
            </w:pPr>
            <w:r>
              <w:t>$350–$650</w:t>
            </w:r>
          </w:p>
        </w:tc>
      </w:tr>
      <w:tr w14:paraId="403E2DCE">
        <w:tc>
          <w:tcPr>
            <w:tcW w:w="1728" w:type="dxa"/>
          </w:tcPr>
          <w:p w14:paraId="5CD4FF33">
            <w:pPr>
              <w:spacing w:after="0" w:line="240" w:lineRule="auto"/>
            </w:pPr>
            <w:r>
              <w:t>Lighting circuits</w:t>
            </w:r>
          </w:p>
        </w:tc>
        <w:tc>
          <w:tcPr>
            <w:tcW w:w="1728" w:type="dxa"/>
          </w:tcPr>
          <w:p w14:paraId="247007D8">
            <w:pPr>
              <w:spacing w:after="0" w:line="240" w:lineRule="auto"/>
            </w:pPr>
            <w:r>
              <w:t>Some lighting circuits without RCD protection</w:t>
            </w:r>
          </w:p>
        </w:tc>
        <w:tc>
          <w:tcPr>
            <w:tcW w:w="1728" w:type="dxa"/>
          </w:tcPr>
          <w:p w14:paraId="72CACCDE">
            <w:pPr>
              <w:spacing w:after="0" w:line="240" w:lineRule="auto"/>
            </w:pPr>
            <w:r>
              <w:t>Monitor / Acceptable</w:t>
            </w:r>
          </w:p>
        </w:tc>
        <w:tc>
          <w:tcPr>
            <w:tcW w:w="1728" w:type="dxa"/>
          </w:tcPr>
          <w:p w14:paraId="66195022">
            <w:pPr>
              <w:spacing w:after="0" w:line="240" w:lineRule="auto"/>
            </w:pPr>
            <w:r>
              <w:t>Next renovation</w:t>
            </w:r>
          </w:p>
        </w:tc>
        <w:tc>
          <w:tcPr>
            <w:tcW w:w="1728" w:type="dxa"/>
          </w:tcPr>
          <w:p w14:paraId="2EFFC7DE">
            <w:pPr>
              <w:spacing w:after="0" w:line="240" w:lineRule="auto"/>
            </w:pPr>
            <w:r>
              <w:t>$600–$1,200</w:t>
            </w:r>
          </w:p>
        </w:tc>
      </w:tr>
      <w:tr w14:paraId="7657F948">
        <w:tc>
          <w:tcPr>
            <w:tcW w:w="1728" w:type="dxa"/>
          </w:tcPr>
          <w:p w14:paraId="6F9720A7">
            <w:pPr>
              <w:spacing w:after="0" w:line="240" w:lineRule="auto"/>
            </w:pPr>
            <w:r>
              <w:t>Loose GPO (sample)</w:t>
            </w:r>
          </w:p>
        </w:tc>
        <w:tc>
          <w:tcPr>
            <w:tcW w:w="1728" w:type="dxa"/>
          </w:tcPr>
          <w:p w14:paraId="4EA1E47F">
            <w:pPr>
              <w:spacing w:after="0" w:line="240" w:lineRule="auto"/>
            </w:pPr>
            <w:r>
              <w:t>One outlet with mechanical looseness; no heat sign</w:t>
            </w:r>
          </w:p>
        </w:tc>
        <w:tc>
          <w:tcPr>
            <w:tcW w:w="1728" w:type="dxa"/>
          </w:tcPr>
          <w:p w14:paraId="5FA7736A">
            <w:pPr>
              <w:spacing w:after="0" w:line="240" w:lineRule="auto"/>
            </w:pPr>
            <w:r>
              <w:t>Budgetary provision recommended</w:t>
            </w:r>
          </w:p>
        </w:tc>
        <w:tc>
          <w:tcPr>
            <w:tcW w:w="1728" w:type="dxa"/>
          </w:tcPr>
          <w:p w14:paraId="54FF816B">
            <w:pPr>
              <w:spacing w:after="0" w:line="240" w:lineRule="auto"/>
            </w:pPr>
            <w:r>
              <w:t>0–3 months</w:t>
            </w:r>
          </w:p>
        </w:tc>
        <w:tc>
          <w:tcPr>
            <w:tcW w:w="1728" w:type="dxa"/>
          </w:tcPr>
          <w:p w14:paraId="724E9C8D">
            <w:pPr>
              <w:spacing w:after="0" w:line="240" w:lineRule="auto"/>
            </w:pPr>
            <w:r>
              <w:t>$180–$420</w:t>
            </w:r>
          </w:p>
        </w:tc>
      </w:tr>
    </w:tbl>
    <w:p w14:paraId="60542822">
      <w:r>
        <w:t>Note: Budgetary ranges are indicative market benchmarks for financial provisioning only. They are not quotations and are not binding.</w:t>
      </w:r>
    </w:p>
    <w:p w14:paraId="39B959E5">
      <w:r>
        <w:br w:type="page"/>
      </w:r>
    </w:p>
    <w:p w14:paraId="52B41223">
      <w:pPr>
        <w:pStyle w:val="3"/>
      </w:pPr>
      <w:r>
        <w:t>9. Owner decision pathways</w:t>
      </w:r>
    </w:p>
    <w:p w14:paraId="3275EF93">
      <w:pPr>
        <w:pStyle w:val="4"/>
      </w:pPr>
      <w:r>
        <w:t>Option A — Monitor only</w:t>
      </w:r>
    </w:p>
    <w:p w14:paraId="74D43DCB">
      <w:r>
        <w:t>Take no action now. Reassess in 12 months or at the next tenancy turnover.</w:t>
      </w:r>
    </w:p>
    <w:p w14:paraId="5B637F1B">
      <w:pPr>
        <w:pStyle w:val="4"/>
      </w:pPr>
      <w:r>
        <w:t>Option B — Planned upgrades</w:t>
      </w:r>
    </w:p>
    <w:p w14:paraId="4239F318">
      <w:r>
        <w:t>Budget and schedule the planned items within the suggested windows to reduce reactive maintenance.</w:t>
      </w:r>
    </w:p>
    <w:p w14:paraId="62AD9518">
      <w:pPr>
        <w:pStyle w:val="4"/>
      </w:pPr>
      <w:r>
        <w:t>Option C — Independent rectification</w:t>
      </w:r>
    </w:p>
    <w:p w14:paraId="04E73B60">
      <w:r>
        <w:t>Use this report to brief any contractor of your choice. Request itemised scope aligned to priorities.</w:t>
      </w:r>
    </w:p>
    <w:p w14:paraId="4C8686AA">
      <w:pPr>
        <w:pStyle w:val="4"/>
      </w:pPr>
      <w:r>
        <w:t>Option D — Management plan integration</w:t>
      </w:r>
    </w:p>
    <w:p w14:paraId="4E02CB66">
      <w:r>
        <w:t>Delegate coordination, quotation review, and completion verification to a management plan (Standard or Premium).</w:t>
      </w:r>
    </w:p>
    <w:p w14:paraId="2F60E8C6">
      <w:r>
        <w:br w:type="page"/>
      </w:r>
    </w:p>
    <w:p w14:paraId="11035278">
      <w:pPr>
        <w:pStyle w:val="3"/>
      </w:pPr>
      <w:r>
        <w:t>10. Terms, limitations and legal framework</w:t>
      </w:r>
    </w:p>
    <w:p w14:paraId="22847D4B">
      <w:pPr>
        <w:pStyle w:val="16"/>
      </w:pPr>
      <w:r>
        <w:t>Australian Consumer Law (ACL) acknowledgement: Our services come with guarantees that cannot be excluded under the ACL. Nothing in this report seeks to exclude statutory consumer guarantees.</w:t>
      </w:r>
    </w:p>
    <w:p w14:paraId="09EC8F7E">
      <w:pPr>
        <w:pStyle w:val="16"/>
      </w:pPr>
      <w:r>
        <w:t>Nature and scope: This is a point-in-time, non-destructive, visual and functional review of accessible components only. It is non-intrusive and non-exhaustive.</w:t>
      </w:r>
    </w:p>
    <w:p w14:paraId="069A2180">
      <w:pPr>
        <w:pStyle w:val="16"/>
      </w:pPr>
      <w:r>
        <w:t>Decision-support only: This report is a risk identification and asset planning tool. It does not recommend specific rectification works and does not provide binding quotes.</w:t>
      </w:r>
    </w:p>
    <w:p w14:paraId="15715C6C">
      <w:pPr>
        <w:pStyle w:val="16"/>
      </w:pPr>
      <w:r>
        <w:t>Independence: Better Home Technology Pty Ltd does not undertake rectification works arising from this report, to preserve objectivity and remove conflicts of interest.</w:t>
      </w:r>
    </w:p>
    <w:p w14:paraId="4F723DF2">
      <w:pPr>
        <w:pStyle w:val="16"/>
      </w:pPr>
      <w:r>
        <w:t>Exclusive reliance: Prepared solely for the named Client. No duty of care is owed to third parties without written consent.</w:t>
      </w:r>
    </w:p>
    <w:p w14:paraId="373D6C2F">
      <w:pPr>
        <w:pStyle w:val="16"/>
      </w:pPr>
      <w:r>
        <w:t>Limitation of liability: To the maximum extent permitted by law, liability for indirect or consequential loss (including loss of rental income) is excluded.</w:t>
      </w:r>
    </w:p>
    <w:p w14:paraId="37B8A8AC">
      <w:pPr>
        <w:pStyle w:val="16"/>
      </w:pPr>
      <w:r>
        <w:t>Hazardous materials: No asbestos testing has been performed; technicians are not asbestos assessors.</w:t>
      </w:r>
    </w:p>
    <w:p w14:paraId="5B4B0076">
      <w:pPr>
        <w:pStyle w:val="16"/>
      </w:pPr>
      <w:r>
        <w:t>Statutory compliance: This report is not a statutory compliance certificate or rental safety certificate unless expressly stated in writing.</w:t>
      </w:r>
    </w:p>
    <w:p w14:paraId="5A213811">
      <w:r>
        <w:br w:type="page"/>
      </w:r>
    </w:p>
    <w:p w14:paraId="11A222EB">
      <w:pPr>
        <w:pStyle w:val="3"/>
      </w:pPr>
      <w:r>
        <w:t>10. Terms, limitations and legal framework (continued)</w:t>
      </w:r>
    </w:p>
    <w:p w14:paraId="2CF45E1B">
      <w:pPr>
        <w:pStyle w:val="16"/>
      </w:pPr>
      <w:r>
        <w:t>Photos and evidence are provided to support observations but do not constitute a guarantee that all defects have been identified.</w:t>
      </w:r>
    </w:p>
    <w:p w14:paraId="594D19AC">
      <w:pPr>
        <w:pStyle w:val="16"/>
      </w:pPr>
      <w:r>
        <w:t>Where access was not safely available, limitations are noted and the item is assessed on available evidence only.</w:t>
      </w:r>
    </w:p>
    <w:p w14:paraId="619946E1">
      <w:pPr>
        <w:pStyle w:val="16"/>
      </w:pPr>
      <w:r>
        <w:t>Any contractor scopes and pricing are outside the control of Better Home Technology Pty Ltd; budgetary figures are indicative benchmarks only.</w:t>
      </w:r>
    </w:p>
    <w:p w14:paraId="5BAD5D74">
      <w:pPr>
        <w:pStyle w:val="16"/>
      </w:pPr>
      <w:r>
        <w:t>By using this report, the Client acknowledges the limitations and intended purpose described above.</w:t>
      </w:r>
    </w:p>
    <w:p w14:paraId="5F5EC173">
      <w:r>
        <w:br w:type="page"/>
      </w:r>
    </w:p>
    <w:p w14:paraId="457AC3B3">
      <w:pPr>
        <w:pStyle w:val="3"/>
      </w:pPr>
      <w:r>
        <w:t>11. Appendix (photos and test notes)</w:t>
      </w:r>
    </w:p>
    <w:p w14:paraId="7FB4AD93">
      <w:pPr>
        <w:pStyle w:val="4"/>
      </w:pPr>
      <w:r>
        <w:t>Appendix A — Photo evidence</w:t>
      </w:r>
    </w:p>
    <w:p w14:paraId="4DAF976D">
      <w:r>
        <w:t>{{APPENDIX_PHOTOS}}</w:t>
      </w:r>
    </w:p>
    <w:p w14:paraId="7D24798B">
      <w:pPr>
        <w:pStyle w:val="4"/>
      </w:pPr>
      <w:r>
        <w:t>Appendix B — Test notes</w:t>
      </w:r>
    </w:p>
    <w:p w14:paraId="55ABD107">
      <w:r>
        <w:t>{{APPENDIX_TEST_NOTES}}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8EBD5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2013-12-24T08:45:00Z</dcterms:created>
  <dc:creator>python-docx</dc:creator>
  <dc:description>generated by python-docx</dc:description>
  <cp:lastModifiedBy>萌张</cp:lastModifiedBy>
  <dcterms:modified xsi:type="dcterms:W3CDTF">2026-02-02T22:27:48Z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2052-12.1.23155.23155</vt:lpwstr>
  </property>
  <property fmtid="{D5CDD505-2E9C-101B-9397-08002B2CF9AE}" pid="3" name="ICV">
    <vt:lpwstr>C011D13004DAF4C83C9180690BF4C206_42</vt:lpwstr>
  </property>
</Properties>
</file>