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AA9E94">
      <w:pPr>
        <w:pStyle w:val="2"/>
        <w:ind w:left="720"/>
        <w:jc w:val="center"/>
        <w:rPr>
          <w:lang w:val="en-AU"/>
        </w:rPr>
      </w:pPr>
      <w:r>
        <w:rPr>
          <w:b/>
          <w:bCs/>
          <w:lang w:val="en-AU"/>
        </w:rPr>
        <w:t>Electrical Property Health Assessment</w:t>
      </w:r>
    </w:p>
    <w:p w14:paraId="60B59AE8">
      <w:pPr>
        <w:pStyle w:val="2"/>
        <w:rPr>
          <w:rFonts w:hint="eastAsia"/>
          <w:lang w:eastAsia="zh-CN"/>
        </w:rPr>
      </w:pPr>
    </w:p>
    <w:p w14:paraId="21E5A01A">
      <w:pPr>
        <w:pStyle w:val="48"/>
        <w:rPr>
          <w:i/>
          <w:iCs/>
        </w:rPr>
      </w:pPr>
    </w:p>
    <w:p w14:paraId="6F39F8FA">
      <w:pPr>
        <w:pStyle w:val="48"/>
        <w:rPr>
          <w:i/>
          <w:iCs/>
        </w:rPr>
      </w:pPr>
    </w:p>
    <w:p w14:paraId="1F58BC8B">
      <w:pPr>
        <w:pStyle w:val="48"/>
        <w:rPr>
          <w:i/>
          <w:iCs/>
        </w:rPr>
      </w:pPr>
    </w:p>
    <w:p w14:paraId="579EFE10">
      <w:pPr>
        <w:pStyle w:val="48"/>
        <w:rPr>
          <w:i/>
          <w:iCs/>
        </w:rPr>
      </w:pPr>
    </w:p>
    <w:p w14:paraId="0FDCAF14">
      <w:pPr>
        <w:pStyle w:val="48"/>
        <w:ind w:left="2160"/>
      </w:pPr>
      <w:r>
        <w:rPr>
          <w:i/>
          <w:iCs/>
        </w:rPr>
        <w:t>Independent electrical condition &amp; risk review</w:t>
      </w:r>
    </w:p>
    <w:p w14:paraId="20355554">
      <w:pPr>
        <w:pStyle w:val="48"/>
        <w:ind w:left="2160"/>
      </w:pPr>
      <w:r>
        <w:rPr>
          <w:i/>
          <w:iCs/>
        </w:rPr>
        <w:t>for residential investment properties</w:t>
      </w:r>
    </w:p>
    <w:p w14:paraId="3204A21B"/>
    <w:p w14:paraId="75CA7358">
      <w:pPr>
        <w:pStyle w:val="43"/>
        <w:rPr>
          <w:lang w:val="en-AU" w:eastAsia="zh-CN"/>
        </w:rPr>
      </w:pPr>
    </w:p>
    <w:p w14:paraId="7E373982"/>
    <w:p w14:paraId="14B12571">
      <w:pPr>
        <w:pStyle w:val="48"/>
      </w:pPr>
      <w:r>
        <w:rPr>
          <w:rStyle w:val="49"/>
          <w:rFonts w:eastAsiaTheme="majorEastAsia"/>
          <w:b/>
          <w:bCs/>
        </w:rPr>
        <w:t>Property Type:</w:t>
      </w:r>
      <w:r>
        <w:t xml:space="preserve"> </w:t>
      </w:r>
      <w:r>
        <w:rPr>
          <w:rFonts w:hint="eastAsia"/>
        </w:rPr>
        <w:t>{{PROPERTY_TYPE}}</w:t>
      </w:r>
    </w:p>
    <w:p w14:paraId="6AF620B6">
      <w:pPr>
        <w:pStyle w:val="48"/>
      </w:pPr>
      <w:r>
        <w:rPr>
          <w:rStyle w:val="49"/>
          <w:rFonts w:eastAsiaTheme="majorEastAsia"/>
          <w:b/>
          <w:bCs/>
        </w:rPr>
        <w:t>Assessment Purpose:</w:t>
      </w:r>
      <w:r>
        <w:t xml:space="preserve"> Risk clarity &amp; decision support</w:t>
      </w:r>
    </w:p>
    <w:p w14:paraId="7F51DCF3">
      <w:pPr>
        <w:pStyle w:val="48"/>
      </w:pPr>
      <w:r>
        <w:rPr>
          <w:rStyle w:val="49"/>
          <w:rFonts w:eastAsiaTheme="majorEastAsia"/>
          <w:b/>
          <w:bCs/>
        </w:rPr>
        <w:t>Prepared For:</w:t>
      </w:r>
      <w:r>
        <w:t xml:space="preserve"> {{PREPARED_FOR}}</w:t>
      </w:r>
    </w:p>
    <w:p w14:paraId="029659A1">
      <w:pPr>
        <w:pStyle w:val="48"/>
      </w:pPr>
      <w:r>
        <w:rPr>
          <w:rStyle w:val="49"/>
          <w:rFonts w:eastAsiaTheme="majorEastAsia"/>
          <w:b/>
          <w:bCs/>
        </w:rPr>
        <w:t>Prepared By:</w:t>
      </w:r>
      <w:r>
        <w:t xml:space="preserve"> Better Home Technology Pty Ltd</w:t>
      </w:r>
    </w:p>
    <w:p w14:paraId="5CF938FF">
      <w:pPr>
        <w:pStyle w:val="50"/>
      </w:pPr>
      <w:r>
        <w:rPr>
          <w:b/>
          <w:bCs/>
        </w:rPr>
        <w:t>Assessment Date:</w:t>
      </w:r>
      <w:r>
        <w:rPr>
          <w:rStyle w:val="51"/>
          <w:rFonts w:eastAsiaTheme="majorEastAsia"/>
        </w:rPr>
        <w:t xml:space="preserve"> {{ASSESSMENT_DATE}}</w:t>
      </w:r>
    </w:p>
    <w:p w14:paraId="191E047F">
      <w:pPr>
        <w:pStyle w:val="3"/>
        <w:bidi w:val="0"/>
        <w:jc w:val="center"/>
      </w:pPr>
      <w:r>
        <w:t>Table of Contents</w:t>
      </w:r>
    </w:p>
    <w:p w14:paraId="39873E3F"/>
    <w:p w14:paraId="59EE516B">
      <w:pPr>
        <w:pStyle w:val="13"/>
        <w:numPr>
          <w:ilvl w:val="0"/>
          <w:numId w:val="0"/>
        </w:numPr>
        <w:spacing w:line="600" w:lineRule="auto"/>
        <w:ind w:leftChars="600"/>
        <w:jc w:val="both"/>
      </w:pPr>
    </w:p>
    <w:p w14:paraId="3D115754">
      <w:pPr>
        <w:pStyle w:val="13"/>
        <w:numPr>
          <w:ilvl w:val="0"/>
          <w:numId w:val="3"/>
        </w:numPr>
        <w:spacing w:line="600" w:lineRule="auto"/>
        <w:ind w:left="425" w:leftChars="0" w:hanging="425" w:firstLineChars="0"/>
        <w:jc w:val="both"/>
      </w:pPr>
      <w:r>
        <w:t>Appendix – Test Results Summary</w:t>
      </w:r>
    </w:p>
    <w:p w14:paraId="69F780BD">
      <w:pPr>
        <w:pStyle w:val="13"/>
        <w:numPr>
          <w:ilvl w:val="0"/>
          <w:numId w:val="3"/>
        </w:numPr>
        <w:spacing w:line="600" w:lineRule="auto"/>
        <w:ind w:left="425" w:leftChars="0" w:hanging="425" w:firstLineChars="0"/>
        <w:jc w:val="both"/>
      </w:pPr>
      <w:r>
        <w:t>Capital Planning &amp; Budget Considerations (0–5 Years)</w:t>
      </w:r>
    </w:p>
    <w:p w14:paraId="6A2BBDD6">
      <w:pPr>
        <w:pStyle w:val="13"/>
        <w:numPr>
          <w:ilvl w:val="0"/>
          <w:numId w:val="3"/>
        </w:numPr>
        <w:spacing w:line="600" w:lineRule="auto"/>
        <w:ind w:left="425" w:leftChars="0" w:hanging="425" w:firstLineChars="0"/>
        <w:jc w:val="both"/>
      </w:pPr>
      <w:r>
        <w:t>Executive Summary</w:t>
      </w:r>
    </w:p>
    <w:p w14:paraId="5DA7E9A5">
      <w:pPr>
        <w:pStyle w:val="13"/>
        <w:numPr>
          <w:ilvl w:val="0"/>
          <w:numId w:val="3"/>
        </w:numPr>
        <w:spacing w:line="600" w:lineRule="auto"/>
        <w:ind w:left="425" w:leftChars="0" w:hanging="425" w:firstLineChars="0"/>
        <w:jc w:val="both"/>
      </w:pPr>
      <w:r>
        <w:t>General Observations</w:t>
      </w:r>
    </w:p>
    <w:p w14:paraId="4ED4F6A3">
      <w:pPr>
        <w:pStyle w:val="13"/>
        <w:numPr>
          <w:ilvl w:val="0"/>
          <w:numId w:val="3"/>
        </w:numPr>
        <w:spacing w:line="600" w:lineRule="auto"/>
        <w:ind w:left="425" w:leftChars="0" w:hanging="425" w:firstLineChars="0"/>
        <w:jc w:val="both"/>
      </w:pPr>
      <w:r>
        <w:t>Immediate Attention Items</w:t>
      </w:r>
    </w:p>
    <w:p w14:paraId="7252D529">
      <w:pPr>
        <w:pStyle w:val="13"/>
        <w:numPr>
          <w:ilvl w:val="0"/>
          <w:numId w:val="3"/>
        </w:numPr>
        <w:spacing w:line="600" w:lineRule="auto"/>
        <w:ind w:left="425" w:leftChars="0" w:hanging="425" w:firstLineChars="0"/>
        <w:jc w:val="both"/>
      </w:pPr>
      <w:r>
        <w:t>Investor Options &amp; Next Steps</w:t>
      </w:r>
    </w:p>
    <w:p w14:paraId="2439F636">
      <w:pPr>
        <w:pStyle w:val="13"/>
        <w:numPr>
          <w:ilvl w:val="0"/>
          <w:numId w:val="3"/>
        </w:numPr>
        <w:spacing w:line="600" w:lineRule="auto"/>
        <w:ind w:left="425" w:leftChars="0" w:hanging="425" w:firstLineChars="0"/>
        <w:jc w:val="both"/>
      </w:pPr>
      <w:r>
        <w:t>Items Not Requiring Action</w:t>
      </w:r>
    </w:p>
    <w:p w14:paraId="463A22D6">
      <w:pPr>
        <w:pStyle w:val="13"/>
        <w:numPr>
          <w:ilvl w:val="0"/>
          <w:numId w:val="3"/>
        </w:numPr>
        <w:spacing w:line="600" w:lineRule="auto"/>
        <w:ind w:left="425" w:leftChars="0" w:hanging="425" w:firstLineChars="0"/>
        <w:jc w:val="both"/>
      </w:pPr>
      <w:r>
        <w:t>Legal Disclaimer &amp; Liability Boundary</w:t>
      </w:r>
    </w:p>
    <w:p w14:paraId="391507E1">
      <w:pPr>
        <w:pStyle w:val="13"/>
        <w:numPr>
          <w:ilvl w:val="0"/>
          <w:numId w:val="3"/>
        </w:numPr>
        <w:spacing w:line="600" w:lineRule="auto"/>
        <w:ind w:left="425" w:leftChars="0" w:hanging="425" w:firstLineChars="0"/>
        <w:jc w:val="both"/>
      </w:pPr>
      <w:r>
        <w:t>Monitoring &amp; Planned Action Items</w:t>
      </w:r>
    </w:p>
    <w:p w14:paraId="415B7658">
      <w:pPr>
        <w:pStyle w:val="13"/>
        <w:numPr>
          <w:ilvl w:val="0"/>
          <w:numId w:val="3"/>
        </w:numPr>
        <w:spacing w:line="600" w:lineRule="auto"/>
        <w:ind w:left="425" w:leftChars="0" w:hanging="425" w:firstLineChars="0"/>
        <w:jc w:val="both"/>
      </w:pPr>
      <w:r>
        <w:t>Overall Electrical Risk Rating</w:t>
      </w:r>
    </w:p>
    <w:p w14:paraId="09E44ADA">
      <w:pPr>
        <w:pStyle w:val="13"/>
        <w:numPr>
          <w:ilvl w:val="0"/>
          <w:numId w:val="3"/>
        </w:numPr>
        <w:spacing w:line="600" w:lineRule="auto"/>
        <w:ind w:left="425" w:leftChars="0" w:hanging="425" w:firstLineChars="0"/>
        <w:jc w:val="both"/>
      </w:pPr>
      <w:r>
        <w:t>Purpose &amp; How to Use This Report</w:t>
      </w:r>
    </w:p>
    <w:p w14:paraId="7ADAE85D">
      <w:pPr>
        <w:pStyle w:val="13"/>
        <w:numPr>
          <w:ilvl w:val="0"/>
          <w:numId w:val="3"/>
        </w:numPr>
        <w:spacing w:line="600" w:lineRule="auto"/>
        <w:ind w:left="425" w:leftChars="0" w:hanging="425" w:firstLineChars="0"/>
        <w:jc w:val="both"/>
      </w:pPr>
      <w:r>
        <w:t>Scope, Methodology &amp; Independence</w:t>
      </w:r>
    </w:p>
    <w:p w14:paraId="289D22EE">
      <w:pPr>
        <w:pStyle w:val="13"/>
        <w:numPr>
          <w:ilvl w:val="0"/>
          <w:numId w:val="3"/>
        </w:numPr>
        <w:spacing w:line="600" w:lineRule="auto"/>
        <w:ind w:left="425" w:leftChars="0" w:hanging="425" w:firstLineChars="0"/>
        <w:jc w:val="both"/>
      </w:pPr>
      <w:r>
        <w:t>Terms &amp; Conditions</w:t>
      </w:r>
    </w:p>
    <w:p w14:paraId="27F66A89">
      <w:pPr>
        <w:pStyle w:val="13"/>
        <w:numPr>
          <w:ilvl w:val="0"/>
          <w:numId w:val="3"/>
        </w:numPr>
        <w:spacing w:line="600" w:lineRule="auto"/>
        <w:ind w:left="425" w:leftChars="0" w:hanging="425" w:firstLineChars="0"/>
        <w:jc w:val="both"/>
      </w:pPr>
      <w:r>
        <w:t>Visual Evidence &amp; Thermal Imaging (where applicable)</w:t>
      </w:r>
    </w:p>
    <w:p w14:paraId="108720A6">
      <w:pPr>
        <w:pStyle w:val="13"/>
        <w:numPr>
          <w:ilvl w:val="0"/>
          <w:numId w:val="0"/>
        </w:numPr>
      </w:pPr>
    </w:p>
    <w:p w14:paraId="2C802A70">
      <w:pPr>
        <w:pStyle w:val="13"/>
        <w:numPr>
          <w:ilvl w:val="0"/>
          <w:numId w:val="0"/>
        </w:numPr>
        <w:rPr>
          <w:lang w:val="en-AU" w:eastAsia="zh-CN"/>
        </w:rPr>
      </w:pPr>
    </w:p>
    <w:p w14:paraId="31E6E6F1">
      <w:pPr>
        <w:pStyle w:val="3"/>
        <w:bidi w:val="0"/>
        <w:jc w:val="center"/>
        <w:rPr>
          <w:lang w:val="en-AU"/>
        </w:rPr>
      </w:pPr>
      <w:r>
        <w:t>Purpose &amp; How to Use This Report</w:t>
      </w:r>
    </w:p>
    <w:p w14:paraId="7E43DA8B">
      <w:pPr>
        <w:pStyle w:val="4"/>
        <w:ind w:left="720"/>
        <w:rPr>
          <w:sz w:val="32"/>
          <w:szCs w:val="32"/>
        </w:rPr>
      </w:pPr>
      <w:r>
        <w:rPr>
          <w:sz w:val="32"/>
          <w:szCs w:val="32"/>
        </w:rPr>
        <w:t>Purpose of This Assessment</w:t>
      </w:r>
    </w:p>
    <w:p w14:paraId="5C61524A">
      <w:pPr>
        <w:pStyle w:val="52"/>
        <w:ind w:left="720"/>
      </w:pPr>
      <w:r>
        <w:t>This assessment has been prepared to address a common challenge faced by property investors:</w:t>
      </w:r>
    </w:p>
    <w:p w14:paraId="14D7CA0F">
      <w:pPr>
        <w:ind w:left="720"/>
        <w:rPr>
          <w:rFonts w:ascii="Helvetica Neue" w:hAnsi="Helvetica Neue"/>
          <w:color w:val="0E0E0E"/>
          <w:sz w:val="21"/>
          <w:szCs w:val="21"/>
        </w:rPr>
      </w:pPr>
      <w:r>
        <w:rPr>
          <w:rFonts w:ascii="Helvetica Neue" w:hAnsi="Helvetica Neue"/>
          <w:b/>
          <w:bCs/>
          <w:color w:val="0E0E0E"/>
          <w:sz w:val="21"/>
          <w:szCs w:val="21"/>
        </w:rPr>
        <w:t>Making electrical decisions without clear visibility of actual risk.</w:t>
      </w:r>
    </w:p>
    <w:p w14:paraId="356F4C29">
      <w:pPr>
        <w:pStyle w:val="52"/>
        <w:ind w:left="720"/>
      </w:pPr>
      <w:r>
        <w:t>Unlike routine inspections or reactive repairs, this report is designed to:</w:t>
      </w:r>
    </w:p>
    <w:p w14:paraId="09C988E7">
      <w:pPr>
        <w:pStyle w:val="48"/>
        <w:numPr>
          <w:ilvl w:val="0"/>
          <w:numId w:val="4"/>
        </w:numPr>
        <w:tabs>
          <w:tab w:val="left" w:pos="2880"/>
          <w:tab w:val="clear" w:pos="720"/>
        </w:tabs>
        <w:ind w:left="1440"/>
      </w:pPr>
      <w:r>
        <w:t xml:space="preserve">Translate technical observations into </w:t>
      </w:r>
      <w:r>
        <w:rPr>
          <w:rStyle w:val="49"/>
          <w:rFonts w:eastAsiaTheme="majorEastAsia"/>
          <w:b/>
          <w:bCs/>
        </w:rPr>
        <w:t>investment-relevant risk insights</w:t>
      </w:r>
    </w:p>
    <w:p w14:paraId="1395CEC0">
      <w:pPr>
        <w:pStyle w:val="48"/>
        <w:numPr>
          <w:ilvl w:val="0"/>
          <w:numId w:val="4"/>
        </w:numPr>
        <w:tabs>
          <w:tab w:val="left" w:pos="2880"/>
          <w:tab w:val="clear" w:pos="720"/>
        </w:tabs>
        <w:ind w:left="1440"/>
      </w:pPr>
      <w:r>
        <w:rPr>
          <w:rStyle w:val="49"/>
          <w:rFonts w:eastAsiaTheme="majorEastAsia"/>
        </w:rPr>
        <w:t xml:space="preserve">Distinguish between </w:t>
      </w:r>
      <w:r>
        <w:rPr>
          <w:b/>
          <w:bCs/>
        </w:rPr>
        <w:t>immediate safety concerns</w:t>
      </w:r>
      <w:r>
        <w:rPr>
          <w:rStyle w:val="49"/>
          <w:rFonts w:eastAsiaTheme="majorEastAsia"/>
        </w:rPr>
        <w:t xml:space="preserve">, </w:t>
      </w:r>
      <w:r>
        <w:rPr>
          <w:b/>
          <w:bCs/>
        </w:rPr>
        <w:t>long-term degradation</w:t>
      </w:r>
      <w:r>
        <w:rPr>
          <w:rStyle w:val="49"/>
          <w:rFonts w:eastAsiaTheme="majorEastAsia"/>
        </w:rPr>
        <w:t xml:space="preserve">, and </w:t>
      </w:r>
      <w:r>
        <w:rPr>
          <w:b/>
          <w:bCs/>
        </w:rPr>
        <w:t>non-issues</w:t>
      </w:r>
    </w:p>
    <w:p w14:paraId="75296481">
      <w:pPr>
        <w:pStyle w:val="48"/>
        <w:numPr>
          <w:ilvl w:val="0"/>
          <w:numId w:val="4"/>
        </w:numPr>
        <w:tabs>
          <w:tab w:val="left" w:pos="2880"/>
          <w:tab w:val="clear" w:pos="720"/>
        </w:tabs>
        <w:ind w:left="1440"/>
      </w:pPr>
      <w:r>
        <w:t xml:space="preserve">Support </w:t>
      </w:r>
      <w:r>
        <w:rPr>
          <w:rStyle w:val="49"/>
          <w:rFonts w:eastAsiaTheme="majorEastAsia"/>
          <w:b/>
          <w:bCs/>
        </w:rPr>
        <w:t>measured, non-reactive decisions</w:t>
      </w:r>
      <w:r>
        <w:t xml:space="preserve"> aligned with property investment goals</w:t>
      </w:r>
    </w:p>
    <w:p w14:paraId="50019103">
      <w:pPr>
        <w:pStyle w:val="48"/>
        <w:numPr>
          <w:ilvl w:val="0"/>
          <w:numId w:val="4"/>
        </w:numPr>
        <w:tabs>
          <w:tab w:val="left" w:pos="2880"/>
          <w:tab w:val="clear" w:pos="720"/>
        </w:tabs>
        <w:ind w:left="1440"/>
      </w:pPr>
      <w:r>
        <w:t>Reduce unnecessary expenditure driven by uncertainty or conflicting advice</w:t>
      </w:r>
    </w:p>
    <w:p w14:paraId="67250C5C">
      <w:pPr>
        <w:pStyle w:val="50"/>
        <w:ind w:left="720"/>
      </w:pPr>
    </w:p>
    <w:p w14:paraId="13581152">
      <w:pPr>
        <w:pStyle w:val="52"/>
        <w:ind w:left="720"/>
      </w:pPr>
      <w:r>
        <w:t xml:space="preserve">This assessment does </w:t>
      </w:r>
      <w:r>
        <w:rPr>
          <w:rStyle w:val="51"/>
          <w:b/>
          <w:bCs/>
        </w:rPr>
        <w:t>not assume</w:t>
      </w:r>
      <w:r>
        <w:t xml:space="preserve"> that all electrical deviations require rectification.</w:t>
      </w:r>
    </w:p>
    <w:p w14:paraId="349D3FD8">
      <w:pPr>
        <w:pStyle w:val="53"/>
        <w:ind w:left="720"/>
      </w:pPr>
      <w:r>
        <w:rPr>
          <w:rStyle w:val="54"/>
        </w:rPr>
        <w:t xml:space="preserve">Its primary role is to clarify </w:t>
      </w:r>
      <w:r>
        <w:rPr>
          <w:b/>
          <w:bCs/>
        </w:rPr>
        <w:t>what truly matters — and what does not</w:t>
      </w:r>
      <w:r>
        <w:rPr>
          <w:rStyle w:val="54"/>
        </w:rPr>
        <w:t>.</w:t>
      </w:r>
    </w:p>
    <w:p w14:paraId="0FA71F22">
      <w:pPr>
        <w:ind w:left="720"/>
        <w:rPr>
          <w:rStyle w:val="49"/>
        </w:rPr>
      </w:pPr>
      <w:r>
        <w:rPr>
          <w:rStyle w:val="49"/>
        </w:rPr>
        <w:pict>
          <v:rect id="_x0000_i1025" o:spt="1" style="height:0.05pt;width:451.3pt;" fillcolor="#A0A0A0" filled="t" stroked="f" coordsize="21600,21600" o:hr="t" o:hrstd="t" o:hralign="center">
            <v:path/>
            <v:fill on="t" focussize="0,0"/>
            <v:stroke on="f"/>
            <v:imagedata o:title=""/>
            <o:lock v:ext="edit"/>
            <w10:wrap type="none"/>
            <w10:anchorlock/>
          </v:rect>
        </w:pict>
      </w:r>
    </w:p>
    <w:p w14:paraId="196210C7">
      <w:pPr>
        <w:pStyle w:val="4"/>
        <w:ind w:left="720"/>
      </w:pPr>
      <w:r>
        <w:t>How to Use This Report Effectively</w:t>
      </w:r>
    </w:p>
    <w:p w14:paraId="622A6953">
      <w:pPr>
        <w:pStyle w:val="50"/>
        <w:ind w:left="720"/>
      </w:pPr>
    </w:p>
    <w:p w14:paraId="1017767D">
      <w:pPr>
        <w:pStyle w:val="52"/>
        <w:ind w:left="720"/>
      </w:pPr>
      <w:r>
        <w:t>Property owners are encouraged to:</w:t>
      </w:r>
    </w:p>
    <w:p w14:paraId="6F294B03">
      <w:pPr>
        <w:pStyle w:val="48"/>
        <w:numPr>
          <w:ilvl w:val="0"/>
          <w:numId w:val="5"/>
        </w:numPr>
        <w:tabs>
          <w:tab w:val="left" w:pos="2880"/>
          <w:tab w:val="clear" w:pos="720"/>
        </w:tabs>
        <w:ind w:left="1440"/>
      </w:pPr>
      <w:r>
        <w:rPr>
          <w:rStyle w:val="49"/>
          <w:rFonts w:eastAsiaTheme="majorEastAsia"/>
        </w:rPr>
        <w:t xml:space="preserve">Focus first on the </w:t>
      </w:r>
      <w:r>
        <w:rPr>
          <w:b/>
          <w:bCs/>
        </w:rPr>
        <w:t>Executive Summary and Risk Rating</w:t>
      </w:r>
    </w:p>
    <w:p w14:paraId="1E2F955F">
      <w:pPr>
        <w:pStyle w:val="48"/>
        <w:numPr>
          <w:ilvl w:val="0"/>
          <w:numId w:val="5"/>
        </w:numPr>
        <w:tabs>
          <w:tab w:val="left" w:pos="2160"/>
          <w:tab w:val="clear" w:pos="720"/>
        </w:tabs>
        <w:ind w:left="1440"/>
      </w:pPr>
      <w:r>
        <w:t xml:space="preserve">Use detailed sections to understand </w:t>
      </w:r>
      <w:r>
        <w:rPr>
          <w:rStyle w:val="49"/>
          <w:rFonts w:eastAsiaTheme="majorEastAsia"/>
          <w:b/>
          <w:bCs/>
        </w:rPr>
        <w:t>context</w:t>
      </w:r>
      <w:r>
        <w:t>, not to self-diagnose</w:t>
      </w:r>
    </w:p>
    <w:p w14:paraId="22822AEA">
      <w:pPr>
        <w:pStyle w:val="48"/>
        <w:numPr>
          <w:ilvl w:val="0"/>
          <w:numId w:val="5"/>
        </w:numPr>
        <w:tabs>
          <w:tab w:val="left" w:pos="2160"/>
          <w:tab w:val="clear" w:pos="720"/>
        </w:tabs>
        <w:ind w:left="1440"/>
      </w:pPr>
      <w:r>
        <w:t xml:space="preserve">Treat recommendations as </w:t>
      </w:r>
      <w:r>
        <w:rPr>
          <w:rStyle w:val="49"/>
          <w:rFonts w:eastAsiaTheme="majorEastAsia"/>
          <w:b/>
          <w:bCs/>
        </w:rPr>
        <w:t>planning inputs</w:t>
      </w:r>
      <w:r>
        <w:t>, not mandatory instructions</w:t>
      </w:r>
    </w:p>
    <w:p w14:paraId="5F7098F3">
      <w:pPr>
        <w:pStyle w:val="17"/>
        <w:keepNext w:val="0"/>
        <w:keepLines w:val="0"/>
        <w:widowControl/>
        <w:suppressLineNumbers w:val="0"/>
        <w:spacing w:before="0" w:beforeAutospacing="1" w:after="0" w:afterAutospacing="1"/>
        <w:ind w:left="0" w:right="0"/>
      </w:pPr>
      <w:r>
        <w:t xml:space="preserve">This report should be read in full and interpreted as a </w:t>
      </w:r>
      <w:r>
        <w:rPr>
          <w:rStyle w:val="49"/>
          <w:b/>
          <w:bCs/>
        </w:rPr>
        <w:t>risk management and asset planning tool</w:t>
      </w:r>
      <w:r>
        <w:t>, rather than a compliance certificate or repair quotation.</w:t>
      </w:r>
    </w:p>
    <w:p w14:paraId="6C702098">
      <w:pPr>
        <w:pStyle w:val="17"/>
        <w:keepNext w:val="0"/>
        <w:keepLines w:val="0"/>
        <w:widowControl/>
        <w:suppressLineNumbers w:val="0"/>
        <w:spacing w:before="0" w:beforeAutospacing="1" w:after="0" w:afterAutospacing="1"/>
        <w:ind w:left="0" w:right="0"/>
      </w:pPr>
      <w:r>
        <w:t xml:space="preserve">Where works are undertaken, this report may also serve as </w:t>
      </w:r>
      <w:r>
        <w:rPr>
          <w:rStyle w:val="49"/>
          <w:b/>
          <w:bCs/>
        </w:rPr>
        <w:t>documented due diligence</w:t>
      </w:r>
      <w:r>
        <w:t xml:space="preserve"> for insurance reference, asset management records, or professional advisory discussions.</w:t>
      </w:r>
    </w:p>
    <w:p w14:paraId="64E8CEF9">
      <w:pPr>
        <w:ind w:left="1440"/>
        <w:rPr>
          <w:lang w:eastAsia="zh-CN"/>
        </w:rPr>
      </w:pPr>
    </w:p>
    <w:p w14:paraId="0A174911">
      <w:pPr>
        <w:pStyle w:val="3"/>
        <w:jc w:val="center"/>
        <w:rPr>
          <w:lang w:val="en-AU"/>
        </w:rPr>
      </w:pPr>
      <w:r>
        <w:t>Scope, Limitations &amp; Independence</w:t>
      </w:r>
    </w:p>
    <w:p w14:paraId="458D9F7B">
      <w:pPr>
        <w:pStyle w:val="4"/>
        <w:ind w:left="720"/>
      </w:pPr>
      <w:r>
        <w:t>Scope of Electrical Assessment</w:t>
      </w:r>
    </w:p>
    <w:p w14:paraId="652C072D">
      <w:pPr>
        <w:pStyle w:val="52"/>
        <w:ind w:left="720"/>
      </w:pPr>
      <w:r>
        <w:t>This assessment includes a structured review of the following electrical components:</w:t>
      </w:r>
    </w:p>
    <w:p w14:paraId="651C2CDA">
      <w:pPr>
        <w:pStyle w:val="48"/>
        <w:numPr>
          <w:ilvl w:val="0"/>
          <w:numId w:val="6"/>
        </w:numPr>
        <w:tabs>
          <w:tab w:val="left" w:pos="2160"/>
          <w:tab w:val="clear" w:pos="720"/>
        </w:tabs>
        <w:ind w:left="1440"/>
      </w:pPr>
      <w:r>
        <w:t>Main switchboard enclosure, layout, and protection devices</w:t>
      </w:r>
    </w:p>
    <w:p w14:paraId="04F1896E">
      <w:pPr>
        <w:pStyle w:val="48"/>
        <w:numPr>
          <w:ilvl w:val="0"/>
          <w:numId w:val="6"/>
        </w:numPr>
        <w:tabs>
          <w:tab w:val="left" w:pos="2160"/>
          <w:tab w:val="clear" w:pos="720"/>
        </w:tabs>
        <w:ind w:left="1440"/>
      </w:pPr>
      <w:r>
        <w:t>Circuit configuration and load distribution (where observable)</w:t>
      </w:r>
    </w:p>
    <w:p w14:paraId="4131F975">
      <w:pPr>
        <w:pStyle w:val="48"/>
        <w:numPr>
          <w:ilvl w:val="0"/>
          <w:numId w:val="6"/>
        </w:numPr>
        <w:tabs>
          <w:tab w:val="left" w:pos="2160"/>
          <w:tab w:val="clear" w:pos="720"/>
        </w:tabs>
        <w:ind w:left="1440"/>
      </w:pPr>
      <w:r>
        <w:t>Presence and condition of RCD protection</w:t>
      </w:r>
    </w:p>
    <w:p w14:paraId="353BD5B2">
      <w:pPr>
        <w:pStyle w:val="48"/>
        <w:numPr>
          <w:ilvl w:val="0"/>
          <w:numId w:val="6"/>
        </w:numPr>
        <w:tabs>
          <w:tab w:val="left" w:pos="2160"/>
          <w:tab w:val="clear" w:pos="720"/>
        </w:tabs>
        <w:ind w:left="1440"/>
      </w:pPr>
      <w:r>
        <w:t>General condition of visible cabling and terminations</w:t>
      </w:r>
    </w:p>
    <w:p w14:paraId="5381DF7C">
      <w:pPr>
        <w:pStyle w:val="48"/>
        <w:numPr>
          <w:ilvl w:val="0"/>
          <w:numId w:val="6"/>
        </w:numPr>
        <w:tabs>
          <w:tab w:val="left" w:pos="2160"/>
          <w:tab w:val="clear" w:pos="720"/>
        </w:tabs>
        <w:ind w:left="1440"/>
      </w:pPr>
      <w:r>
        <w:t>Functional testing of selected outlets and lighting circuits</w:t>
      </w:r>
    </w:p>
    <w:p w14:paraId="758E4BDB">
      <w:pPr>
        <w:pStyle w:val="48"/>
        <w:numPr>
          <w:ilvl w:val="0"/>
          <w:numId w:val="6"/>
        </w:numPr>
        <w:tabs>
          <w:tab w:val="left" w:pos="2160"/>
          <w:tab w:val="clear" w:pos="720"/>
        </w:tabs>
        <w:ind w:left="1440"/>
      </w:pPr>
      <w:r>
        <w:t>Earthing continuity at accessible points</w:t>
      </w:r>
    </w:p>
    <w:p w14:paraId="6F01036C">
      <w:pPr>
        <w:pStyle w:val="52"/>
        <w:ind w:left="720"/>
      </w:pPr>
      <w:r>
        <w:t xml:space="preserve">The inspection was conducted under </w:t>
      </w:r>
      <w:r>
        <w:rPr>
          <w:rStyle w:val="51"/>
          <w:b/>
          <w:bCs/>
        </w:rPr>
        <w:t>normal operating conditions</w:t>
      </w:r>
      <w:r>
        <w:t>,</w:t>
      </w:r>
    </w:p>
    <w:p w14:paraId="14ED319C">
      <w:pPr>
        <w:pStyle w:val="52"/>
        <w:ind w:left="720"/>
      </w:pPr>
      <w:r>
        <w:t>without inducing abnormal loads or disassembly of fixed equipment.</w:t>
      </w:r>
    </w:p>
    <w:p w14:paraId="6A94EC62">
      <w:pPr>
        <w:ind w:left="720"/>
        <w:rPr>
          <w:rStyle w:val="49"/>
        </w:rPr>
      </w:pPr>
      <w:r>
        <w:rPr>
          <w:rStyle w:val="49"/>
        </w:rPr>
        <w:pict>
          <v:rect id="_x0000_i1026" o:spt="1" style="height:0.05pt;width:451.3pt;" fillcolor="#A0A0A0" filled="t" stroked="f" coordsize="21600,21600" o:hr="t" o:hrstd="t" o:hralign="center">
            <v:path/>
            <v:fill on="t" focussize="0,0"/>
            <v:stroke on="f"/>
            <v:imagedata o:title=""/>
            <o:lock v:ext="edit"/>
            <w10:wrap type="none"/>
            <w10:anchorlock/>
          </v:rect>
        </w:pict>
      </w:r>
    </w:p>
    <w:p w14:paraId="458E6D4F">
      <w:pPr>
        <w:pStyle w:val="4"/>
        <w:ind w:left="720"/>
      </w:pPr>
      <w:r>
        <w:t>Limitations of Assessment</w:t>
      </w:r>
    </w:p>
    <w:p w14:paraId="04044FD6">
      <w:pPr>
        <w:pStyle w:val="55"/>
        <w:ind w:left="720"/>
      </w:pPr>
      <w:r>
        <w:rPr>
          <w:rStyle w:val="54"/>
        </w:rPr>
        <w:t xml:space="preserve">This assessment is limited to </w:t>
      </w:r>
      <w:r>
        <w:rPr>
          <w:b/>
          <w:bCs/>
        </w:rPr>
        <w:t>accessible and visible areas only</w:t>
      </w:r>
      <w:r>
        <w:rPr>
          <w:rStyle w:val="54"/>
        </w:rPr>
        <w:t>.</w:t>
      </w:r>
    </w:p>
    <w:p w14:paraId="347779F1">
      <w:pPr>
        <w:pStyle w:val="52"/>
        <w:ind w:left="720"/>
      </w:pPr>
      <w:r>
        <w:t>The following were not inspected or tested:</w:t>
      </w:r>
    </w:p>
    <w:p w14:paraId="668DEB0A">
      <w:pPr>
        <w:pStyle w:val="48"/>
        <w:numPr>
          <w:ilvl w:val="0"/>
          <w:numId w:val="7"/>
        </w:numPr>
        <w:tabs>
          <w:tab w:val="left" w:pos="2160"/>
          <w:tab w:val="clear" w:pos="720"/>
        </w:tabs>
        <w:ind w:left="1440"/>
      </w:pPr>
      <w:r>
        <w:t>Concealed wiring within walls</w:t>
      </w:r>
    </w:p>
    <w:p w14:paraId="6D7ECC53">
      <w:pPr>
        <w:pStyle w:val="48"/>
        <w:numPr>
          <w:ilvl w:val="0"/>
          <w:numId w:val="7"/>
        </w:numPr>
        <w:tabs>
          <w:tab w:val="left" w:pos="1440"/>
          <w:tab w:val="clear" w:pos="720"/>
        </w:tabs>
        <w:ind w:left="1440"/>
      </w:pPr>
      <w:r>
        <w:t>Inaccessible roof cavities</w:t>
      </w:r>
    </w:p>
    <w:p w14:paraId="02AF55FC">
      <w:pPr>
        <w:pStyle w:val="48"/>
        <w:numPr>
          <w:ilvl w:val="0"/>
          <w:numId w:val="7"/>
        </w:numPr>
        <w:tabs>
          <w:tab w:val="left" w:pos="1440"/>
          <w:tab w:val="clear" w:pos="720"/>
        </w:tabs>
        <w:ind w:left="1440"/>
      </w:pPr>
      <w:r>
        <w:t>Subfloor areas not safely reachable at time of inspection</w:t>
      </w:r>
    </w:p>
    <w:p w14:paraId="1B824392">
      <w:pPr>
        <w:pStyle w:val="52"/>
        <w:ind w:left="720"/>
      </w:pPr>
      <w:r>
        <w:t>These limitations are standard for non-invasive assessments</w:t>
      </w:r>
    </w:p>
    <w:p w14:paraId="6F66F328">
      <w:pPr>
        <w:pStyle w:val="52"/>
        <w:ind w:left="720"/>
      </w:pPr>
      <w:r>
        <w:t>and do not indicate any known defect.</w:t>
      </w:r>
    </w:p>
    <w:p w14:paraId="5B8B426F">
      <w:pPr>
        <w:ind w:left="720"/>
        <w:rPr>
          <w:rStyle w:val="49"/>
        </w:rPr>
      </w:pPr>
      <w:r>
        <w:rPr>
          <w:rStyle w:val="49"/>
        </w:rPr>
        <w:pict>
          <v:rect id="_x0000_i1027" o:spt="1" style="height:0.05pt;width:451.3pt;" fillcolor="#A0A0A0" filled="t" stroked="f" coordsize="21600,21600" o:hr="t" o:hrstd="t" o:hralign="center">
            <v:path/>
            <v:fill on="t" focussize="0,0"/>
            <v:stroke on="f"/>
            <v:imagedata o:title=""/>
            <o:lock v:ext="edit"/>
            <w10:wrap type="none"/>
            <w10:anchorlock/>
          </v:rect>
        </w:pict>
      </w:r>
    </w:p>
    <w:p w14:paraId="47D6C62A">
      <w:pPr>
        <w:pStyle w:val="4"/>
        <w:ind w:left="720"/>
        <w:rPr>
          <w:lang w:val="en-AU" w:eastAsia="zh-CN"/>
        </w:rPr>
      </w:pPr>
      <w:r>
        <w:t>Independence Statement</w:t>
      </w:r>
    </w:p>
    <w:p w14:paraId="7B3E2D25">
      <w:pPr>
        <w:pStyle w:val="55"/>
        <w:spacing w:line="240" w:lineRule="auto"/>
        <w:ind w:left="720"/>
        <w:jc w:val="left"/>
        <w:rPr>
          <w:rFonts w:hint="default" w:ascii="Times New Roman Regular" w:hAnsi="Times New Roman Regular" w:cs="Times New Roman Regular"/>
        </w:rPr>
      </w:pPr>
      <w:r>
        <w:rPr>
          <w:rStyle w:val="54"/>
          <w:rFonts w:hint="default" w:ascii="Times New Roman Regular" w:hAnsi="Times New Roman Regular" w:cs="Times New Roman Regular"/>
        </w:rPr>
        <w:t xml:space="preserve">This report is prepared </w:t>
      </w:r>
      <w:r>
        <w:rPr>
          <w:rFonts w:hint="default" w:ascii="Times New Roman Regular" w:hAnsi="Times New Roman Regular" w:cs="Times New Roman Regular"/>
          <w:b/>
          <w:bCs/>
        </w:rPr>
        <w:t>independently of any repair or upgrade proposal</w:t>
      </w:r>
      <w:r>
        <w:rPr>
          <w:rStyle w:val="54"/>
          <w:rFonts w:hint="default" w:ascii="Times New Roman Regular" w:hAnsi="Times New Roman Regular" w:cs="Times New Roman Regular"/>
        </w:rPr>
        <w:t>.</w:t>
      </w:r>
    </w:p>
    <w:p w14:paraId="7589A9E7">
      <w:pPr>
        <w:keepNext w:val="0"/>
        <w:keepLines w:val="0"/>
        <w:widowControl/>
        <w:suppressLineNumbers w:val="0"/>
        <w:spacing w:before="0" w:beforeAutospacing="0" w:after="0" w:afterAutospacing="0" w:line="240" w:lineRule="auto"/>
        <w:ind w:right="720"/>
        <w:jc w:val="left"/>
        <w:rPr>
          <w:rFonts w:hint="default" w:ascii="Times New Roman Bold Italic" w:hAnsi="Times New Roman Bold Italic" w:eastAsia=".AppleSystemUIFont" w:cs="Times New Roman Bold Italic"/>
          <w:b/>
          <w:bCs/>
          <w:color w:val="0E0E0E"/>
          <w:sz w:val="24"/>
          <w:szCs w:val="24"/>
          <w:lang w:val="en-US"/>
        </w:rPr>
      </w:pPr>
      <w:r>
        <w:rPr>
          <w:rFonts w:hint="default" w:ascii="Times New Roman Bold Italic" w:hAnsi="Times New Roman Bold Italic" w:eastAsia=".AppleSystemUIFont" w:cs="Times New Roman Bold Italic"/>
          <w:b/>
          <w:bCs/>
          <w:i/>
          <w:iCs/>
          <w:color w:val="808080" w:themeColor="text1" w:themeTint="80"/>
          <w:kern w:val="0"/>
          <w:sz w:val="24"/>
          <w:szCs w:val="24"/>
          <w:lang w:val="en-US" w:eastAsia="zh-CN" w:bidi="ar"/>
          <w14:textFill>
            <w14:solidFill>
              <w14:schemeClr w14:val="tx1">
                <w14:lumMod w14:val="50000"/>
                <w14:lumOff w14:val="50000"/>
              </w14:schemeClr>
            </w14:solidFill>
          </w14:textFill>
        </w:rPr>
        <w:t>Accordingly, no repair pricing or commercial quotations are included in this assessment.</w:t>
      </w:r>
    </w:p>
    <w:p w14:paraId="2D35B76A">
      <w:pPr>
        <w:pStyle w:val="13"/>
        <w:numPr>
          <w:ilvl w:val="0"/>
          <w:numId w:val="0"/>
        </w:numPr>
        <w:rPr>
          <w:lang w:val="en-AU" w:eastAsia="zh-CN"/>
        </w:rPr>
      </w:pPr>
    </w:p>
    <w:p w14:paraId="542EC577">
      <w:pPr>
        <w:pStyle w:val="3"/>
        <w:jc w:val="center"/>
      </w:pPr>
      <w:r>
        <w:t>Executive Summary</w:t>
      </w:r>
    </w:p>
    <w:p w14:paraId="1D954D02">
      <w:pPr>
        <w:pStyle w:val="4"/>
      </w:pPr>
      <w:r>
        <w:t>Overall Electrical Status</w:t>
      </w:r>
    </w:p>
    <w:p w14:paraId="2C1621A7">
      <w:r>
        <w:t>{{OVERALL_STATUS_BADGE}}</w:t>
      </w:r>
    </w:p>
    <w:p w14:paraId="5DCEBF4E">
      <w:r>
        <w:t>{{EXECUTIVE_SUMMARY_PARAGRAPH}}</w:t>
      </w:r>
    </w:p>
    <w:p w14:paraId="1F9970D4">
      <w:pPr>
        <w:rPr>
          <w:rStyle w:val="49"/>
        </w:rPr>
      </w:pPr>
      <w:r>
        <w:rPr>
          <w:rStyle w:val="49"/>
        </w:rPr>
        <w:pict>
          <v:rect id="_x0000_i1028" o:spt="1" style="height:0.05pt;width:451.3pt;" fillcolor="#A0A0A0" filled="t" stroked="f" coordsize="21600,21600" o:hr="t" o:hrstd="t" o:hralign="center">
            <v:path/>
            <v:fill on="t" focussize="0,0"/>
            <v:stroke on="f"/>
            <v:imagedata o:title=""/>
            <o:lock v:ext="edit"/>
            <w10:wrap type="none"/>
            <w10:anchorlock/>
          </v:rect>
        </w:pict>
      </w:r>
    </w:p>
    <w:p w14:paraId="3780D8C0">
      <w:pPr>
        <w:pStyle w:val="4"/>
        <w:rPr>
          <w:lang w:val="en-AU" w:eastAsia="zh-CN"/>
        </w:rPr>
      </w:pPr>
      <w:r>
        <w:t>Priority Overview (Decision-Focused)</w:t>
      </w:r>
    </w:p>
    <w:tbl>
      <w:tblPr>
        <w:tblStyle w:val="19"/>
        <w:tblW w:w="10032" w:type="dxa"/>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846"/>
        <w:gridCol w:w="4761"/>
        <w:gridCol w:w="3425"/>
      </w:tblGrid>
      <w:tr w14:paraId="2B91BD8B">
        <w:trPr>
          <w:trHeight w:val="367" w:hRule="atLeast"/>
          <w:tblHeader/>
          <w:tblCellSpacing w:w="15" w:type="dxa"/>
        </w:trPr>
        <w:tc>
          <w:tcPr>
            <w:tcW w:w="0" w:type="auto"/>
            <w:vAlign w:val="center"/>
          </w:tcPr>
          <w:p w14:paraId="415192EE">
            <w:pPr>
              <w:spacing w:before="100" w:beforeAutospacing="1" w:after="100" w:afterAutospacing="1" w:line="240" w:lineRule="auto"/>
              <w:jc w:val="center"/>
              <w:rPr>
                <w:rFonts w:ascii="Times New Roman" w:hAnsi="Times New Roman" w:eastAsia="Times New Roman" w:cs="Times New Roman"/>
                <w:b/>
                <w:bCs/>
                <w:color w:val="auto"/>
                <w:lang w:val="en-AU" w:eastAsia="zh-CN"/>
              </w:rPr>
            </w:pPr>
            <w:r>
              <w:rPr>
                <w:rFonts w:ascii="Times New Roman" w:hAnsi="Times New Roman" w:eastAsia="Times New Roman" w:cs="Times New Roman"/>
                <w:b/>
                <w:bCs/>
                <w:color w:val="auto"/>
                <w:lang w:val="en-AU" w:eastAsia="zh-CN"/>
              </w:rPr>
              <w:t>Priority</w:t>
            </w:r>
          </w:p>
        </w:tc>
        <w:tc>
          <w:tcPr>
            <w:tcW w:w="0" w:type="auto"/>
            <w:vAlign w:val="center"/>
          </w:tcPr>
          <w:p w14:paraId="717E812F">
            <w:pPr>
              <w:spacing w:before="100" w:beforeAutospacing="1" w:after="100" w:afterAutospacing="1" w:line="240" w:lineRule="auto"/>
              <w:jc w:val="center"/>
              <w:rPr>
                <w:rFonts w:ascii="Times New Roman" w:hAnsi="Times New Roman" w:eastAsia="Times New Roman" w:cs="Times New Roman"/>
                <w:b/>
                <w:bCs/>
                <w:color w:val="auto"/>
                <w:lang w:val="en-AU" w:eastAsia="zh-CN"/>
              </w:rPr>
            </w:pPr>
            <w:r>
              <w:rPr>
                <w:rFonts w:ascii="Times New Roman" w:hAnsi="Times New Roman" w:eastAsia="Times New Roman" w:cs="Times New Roman"/>
                <w:b/>
                <w:bCs/>
                <w:color w:val="auto"/>
                <w:lang w:val="en-AU" w:eastAsia="zh-CN"/>
              </w:rPr>
              <w:t>Description</w:t>
            </w:r>
          </w:p>
        </w:tc>
        <w:tc>
          <w:tcPr>
            <w:tcW w:w="0" w:type="auto"/>
            <w:vAlign w:val="center"/>
          </w:tcPr>
          <w:p w14:paraId="1D2EE847">
            <w:pPr>
              <w:spacing w:before="100" w:beforeAutospacing="1" w:after="100" w:afterAutospacing="1" w:line="240" w:lineRule="auto"/>
              <w:jc w:val="center"/>
              <w:rPr>
                <w:rFonts w:ascii="Times New Roman" w:hAnsi="Times New Roman" w:eastAsia="Times New Roman" w:cs="Times New Roman"/>
                <w:b/>
                <w:bCs/>
                <w:color w:val="auto"/>
                <w:lang w:val="en-AU" w:eastAsia="zh-CN"/>
              </w:rPr>
            </w:pPr>
            <w:r>
              <w:rPr>
                <w:rFonts w:ascii="Times New Roman" w:hAnsi="Times New Roman" w:eastAsia="Times New Roman" w:cs="Times New Roman"/>
                <w:b/>
                <w:bCs/>
                <w:color w:val="auto"/>
                <w:lang w:val="en-AU" w:eastAsia="zh-CN"/>
              </w:rPr>
              <w:t>Investor Interpretation</w:t>
            </w:r>
          </w:p>
        </w:tc>
      </w:tr>
      <w:tr w14:paraId="423FFA1B">
        <w:trPr>
          <w:trHeight w:val="435" w:hRule="atLeast"/>
          <w:tblCellSpacing w:w="15" w:type="dxa"/>
        </w:trPr>
        <w:tc>
          <w:tcPr>
            <w:tcW w:w="0" w:type="auto"/>
            <w:vAlign w:val="center"/>
          </w:tcPr>
          <w:p w14:paraId="1121377E">
            <w:pPr>
              <w:spacing w:before="100" w:beforeAutospacing="1" w:after="100" w:afterAutospacing="1" w:line="240" w:lineRule="auto"/>
              <w:jc w:val="both"/>
              <w:rPr>
                <w:rFonts w:ascii="Times New Roman" w:hAnsi="Times New Roman" w:eastAsia="Times New Roman" w:cs="Times New Roman"/>
                <w:color w:val="auto"/>
                <w:lang w:val="en-AU" w:eastAsia="zh-CN"/>
              </w:rPr>
            </w:pPr>
            <w:r>
              <w:rPr>
                <w:rFonts w:ascii="Apple Color Emoji" w:hAnsi="Apple Color Emoji" w:eastAsia="Times New Roman" w:cs="Apple Color Emoji"/>
                <w:color w:val="auto"/>
                <w:lang w:val="en-AU" w:eastAsia="zh-CN"/>
              </w:rPr>
              <w:t>🔴</w:t>
            </w:r>
            <w:r>
              <w:rPr>
                <w:rFonts w:ascii="Times New Roman" w:hAnsi="Times New Roman" w:eastAsia="Times New Roman" w:cs="Times New Roman"/>
                <w:color w:val="auto"/>
                <w:lang w:val="en-AU" w:eastAsia="zh-CN"/>
              </w:rPr>
              <w:t xml:space="preserve"> Immediate</w:t>
            </w:r>
          </w:p>
        </w:tc>
        <w:tc>
          <w:tcPr>
            <w:tcW w:w="0" w:type="auto"/>
            <w:vAlign w:val="center"/>
          </w:tcPr>
          <w:p w14:paraId="425AA6E1">
            <w:pPr>
              <w:spacing w:before="100" w:beforeAutospacing="1" w:after="100" w:afterAutospacing="1" w:line="240" w:lineRule="auto"/>
              <w:jc w:val="both"/>
              <w:rPr>
                <w:rFonts w:ascii="Times New Roman" w:hAnsi="Times New Roman" w:eastAsia="Times New Roman" w:cs="Times New Roman"/>
                <w:color w:val="auto"/>
                <w:lang w:val="en-AU" w:eastAsia="zh-CN"/>
              </w:rPr>
            </w:pPr>
            <w:r>
              <w:rPr>
                <w:rFonts w:ascii="Times New Roman" w:hAnsi="Times New Roman" w:eastAsia="Times New Roman" w:cs="Times New Roman"/>
                <w:color w:val="auto"/>
                <w:lang w:val="en-AU" w:eastAsia="zh-CN"/>
              </w:rPr>
              <w:t>No immediate safety hazards</w:t>
            </w:r>
          </w:p>
        </w:tc>
        <w:tc>
          <w:tcPr>
            <w:tcW w:w="0" w:type="auto"/>
            <w:vAlign w:val="center"/>
          </w:tcPr>
          <w:p w14:paraId="2AC0D1DE">
            <w:pPr>
              <w:spacing w:before="100" w:beforeAutospacing="1" w:after="100" w:afterAutospacing="1" w:line="240" w:lineRule="auto"/>
              <w:jc w:val="both"/>
              <w:rPr>
                <w:rFonts w:ascii="Times New Roman" w:hAnsi="Times New Roman" w:eastAsia="Times New Roman" w:cs="Times New Roman"/>
                <w:color w:val="auto"/>
                <w:lang w:val="en-AU" w:eastAsia="zh-CN"/>
              </w:rPr>
            </w:pPr>
            <w:r>
              <w:rPr>
                <w:rFonts w:ascii="Times New Roman" w:hAnsi="Times New Roman" w:eastAsia="Times New Roman" w:cs="Times New Roman"/>
                <w:color w:val="auto"/>
                <w:lang w:val="en-AU" w:eastAsia="zh-CN"/>
              </w:rPr>
              <w:t>No urgent spend required</w:t>
            </w:r>
          </w:p>
        </w:tc>
      </w:tr>
      <w:tr w14:paraId="5F99CD24">
        <w:trPr>
          <w:trHeight w:val="435" w:hRule="atLeast"/>
          <w:tblCellSpacing w:w="15" w:type="dxa"/>
        </w:trPr>
        <w:tc>
          <w:tcPr>
            <w:tcW w:w="0" w:type="auto"/>
            <w:vAlign w:val="center"/>
          </w:tcPr>
          <w:p w14:paraId="2B6AAA16">
            <w:pPr>
              <w:spacing w:before="100" w:beforeAutospacing="1" w:after="100" w:afterAutospacing="1" w:line="240" w:lineRule="auto"/>
              <w:jc w:val="both"/>
              <w:rPr>
                <w:rFonts w:ascii="Times New Roman" w:hAnsi="Times New Roman" w:eastAsia="Times New Roman" w:cs="Times New Roman"/>
                <w:color w:val="auto"/>
                <w:lang w:val="en-AU" w:eastAsia="zh-CN"/>
              </w:rPr>
            </w:pPr>
            <w:r>
              <w:rPr>
                <w:rFonts w:ascii="Apple Color Emoji" w:hAnsi="Apple Color Emoji" w:eastAsia="Times New Roman" w:cs="Apple Color Emoji"/>
                <w:color w:val="auto"/>
                <w:lang w:val="en-AU" w:eastAsia="zh-CN"/>
              </w:rPr>
              <w:t>🟠</w:t>
            </w:r>
            <w:r>
              <w:rPr>
                <w:rFonts w:ascii="Times New Roman" w:hAnsi="Times New Roman" w:eastAsia="Times New Roman" w:cs="Times New Roman"/>
                <w:color w:val="auto"/>
                <w:lang w:val="en-AU" w:eastAsia="zh-CN"/>
              </w:rPr>
              <w:t xml:space="preserve"> Monitor</w:t>
            </w:r>
          </w:p>
        </w:tc>
        <w:tc>
          <w:tcPr>
            <w:tcW w:w="0" w:type="auto"/>
            <w:vAlign w:val="center"/>
          </w:tcPr>
          <w:p w14:paraId="360BE463">
            <w:pPr>
              <w:spacing w:before="100" w:beforeAutospacing="1" w:after="100" w:afterAutospacing="1" w:line="240" w:lineRule="auto"/>
              <w:jc w:val="both"/>
              <w:rPr>
                <w:rFonts w:ascii="Times New Roman" w:hAnsi="Times New Roman" w:eastAsia="Times New Roman" w:cs="Times New Roman"/>
                <w:color w:val="auto"/>
                <w:lang w:val="en-AU" w:eastAsia="zh-CN"/>
              </w:rPr>
            </w:pPr>
            <w:r>
              <w:rPr>
                <w:rFonts w:ascii="Times New Roman" w:hAnsi="Times New Roman" w:eastAsia="Times New Roman" w:cs="Times New Roman"/>
                <w:color w:val="auto"/>
                <w:lang w:val="en-AU" w:eastAsia="zh-CN"/>
              </w:rPr>
              <w:t>Ageing components, legacy protection</w:t>
            </w:r>
          </w:p>
        </w:tc>
        <w:tc>
          <w:tcPr>
            <w:tcW w:w="0" w:type="auto"/>
            <w:vAlign w:val="center"/>
          </w:tcPr>
          <w:p w14:paraId="01456E01">
            <w:pPr>
              <w:spacing w:before="100" w:beforeAutospacing="1" w:after="100" w:afterAutospacing="1" w:line="240" w:lineRule="auto"/>
              <w:jc w:val="both"/>
              <w:rPr>
                <w:rFonts w:ascii="Times New Roman" w:hAnsi="Times New Roman" w:eastAsia="Times New Roman" w:cs="Times New Roman"/>
                <w:color w:val="auto"/>
                <w:lang w:val="en-AU" w:eastAsia="zh-CN"/>
              </w:rPr>
            </w:pPr>
            <w:r>
              <w:rPr>
                <w:rFonts w:ascii="Times New Roman" w:hAnsi="Times New Roman" w:eastAsia="Times New Roman" w:cs="Times New Roman"/>
                <w:color w:val="auto"/>
                <w:lang w:val="en-AU" w:eastAsia="zh-CN"/>
              </w:rPr>
              <w:t>Budget &amp; plan, no pressure</w:t>
            </w:r>
          </w:p>
        </w:tc>
      </w:tr>
      <w:tr w14:paraId="175D7E37">
        <w:trPr>
          <w:trHeight w:val="417" w:hRule="atLeast"/>
          <w:tblCellSpacing w:w="15" w:type="dxa"/>
        </w:trPr>
        <w:tc>
          <w:tcPr>
            <w:tcW w:w="0" w:type="auto"/>
            <w:vAlign w:val="center"/>
          </w:tcPr>
          <w:p w14:paraId="2A5FC170">
            <w:pPr>
              <w:spacing w:before="100" w:beforeAutospacing="1" w:after="100" w:afterAutospacing="1" w:line="240" w:lineRule="auto"/>
              <w:jc w:val="both"/>
              <w:rPr>
                <w:rFonts w:ascii="Times New Roman" w:hAnsi="Times New Roman" w:eastAsia="Times New Roman" w:cs="Times New Roman"/>
                <w:color w:val="auto"/>
                <w:lang w:val="en-AU" w:eastAsia="zh-CN"/>
              </w:rPr>
            </w:pPr>
            <w:r>
              <w:rPr>
                <w:rFonts w:ascii="Apple Color Emoji" w:hAnsi="Apple Color Emoji" w:eastAsia="Times New Roman" w:cs="Apple Color Emoji"/>
                <w:color w:val="auto"/>
                <w:lang w:val="en-AU" w:eastAsia="zh-CN"/>
              </w:rPr>
              <w:t>🟢</w:t>
            </w:r>
            <w:r>
              <w:rPr>
                <w:rFonts w:ascii="Times New Roman" w:hAnsi="Times New Roman" w:eastAsia="Times New Roman" w:cs="Times New Roman"/>
                <w:color w:val="auto"/>
                <w:lang w:val="en-AU" w:eastAsia="zh-CN"/>
              </w:rPr>
              <w:t xml:space="preserve"> Acceptable</w:t>
            </w:r>
          </w:p>
        </w:tc>
        <w:tc>
          <w:tcPr>
            <w:tcW w:w="0" w:type="auto"/>
            <w:vAlign w:val="center"/>
          </w:tcPr>
          <w:p w14:paraId="368C9F15">
            <w:pPr>
              <w:spacing w:before="100" w:beforeAutospacing="1" w:after="100" w:afterAutospacing="1" w:line="240" w:lineRule="auto"/>
              <w:jc w:val="both"/>
              <w:rPr>
                <w:rFonts w:ascii="Times New Roman" w:hAnsi="Times New Roman" w:eastAsia="Times New Roman" w:cs="Times New Roman"/>
                <w:color w:val="auto"/>
                <w:lang w:val="en-AU" w:eastAsia="zh-CN"/>
              </w:rPr>
            </w:pPr>
            <w:r>
              <w:rPr>
                <w:rFonts w:ascii="Times New Roman" w:hAnsi="Times New Roman" w:eastAsia="Times New Roman" w:cs="Times New Roman"/>
                <w:color w:val="auto"/>
                <w:lang w:val="en-AU" w:eastAsia="zh-CN"/>
              </w:rPr>
              <w:t>Functional circuits &amp; outlets</w:t>
            </w:r>
          </w:p>
        </w:tc>
        <w:tc>
          <w:tcPr>
            <w:tcW w:w="0" w:type="auto"/>
            <w:vAlign w:val="center"/>
          </w:tcPr>
          <w:p w14:paraId="4BBFC7B6">
            <w:pPr>
              <w:spacing w:before="100" w:beforeAutospacing="1" w:after="100" w:afterAutospacing="1" w:line="240" w:lineRule="auto"/>
              <w:jc w:val="both"/>
              <w:rPr>
                <w:rFonts w:ascii="Times New Roman" w:hAnsi="Times New Roman" w:eastAsia="Times New Roman" w:cs="Times New Roman"/>
                <w:color w:val="auto"/>
                <w:lang w:val="en-AU" w:eastAsia="zh-CN"/>
              </w:rPr>
            </w:pPr>
            <w:r>
              <w:rPr>
                <w:rFonts w:ascii="Times New Roman" w:hAnsi="Times New Roman" w:eastAsia="Times New Roman" w:cs="Times New Roman"/>
                <w:color w:val="auto"/>
                <w:lang w:val="en-AU" w:eastAsia="zh-CN"/>
              </w:rPr>
              <w:t>No action, no concern</w:t>
            </w:r>
          </w:p>
        </w:tc>
      </w:tr>
    </w:tbl>
    <w:p w14:paraId="157D72F1">
      <w:pPr>
        <w:jc w:val="right"/>
        <w:rPr>
          <w:rFonts w:ascii=".AppleSystemUIFont" w:hAnsi=".AppleSystemUIFont" w:eastAsia="Times New Roman" w:cs="Times New Roman"/>
          <w:i/>
          <w:iCs/>
          <w:color w:val="0E0E0E"/>
          <w:sz w:val="21"/>
          <w:szCs w:val="21"/>
          <w:lang w:val="en-AU" w:eastAsia="zh-CN"/>
        </w:rPr>
      </w:pPr>
    </w:p>
    <w:p w14:paraId="7D7ACF29">
      <w:pPr>
        <w:jc w:val="right"/>
        <w:rPr>
          <w:rFonts w:ascii=".AppleSystemUIFont" w:hAnsi=".AppleSystemUIFont" w:eastAsia="Times New Roman" w:cs="Times New Roman"/>
          <w:i/>
          <w:iCs/>
          <w:color w:val="0E0E0E"/>
          <w:sz w:val="21"/>
          <w:szCs w:val="21"/>
          <w:lang w:val="en-AU" w:eastAsia="zh-CN"/>
        </w:rPr>
      </w:pPr>
    </w:p>
    <w:p w14:paraId="3BE6AD6C">
      <w:pPr>
        <w:jc w:val="right"/>
        <w:rPr>
          <w:rFonts w:ascii=".AppleSystemUIFont" w:hAnsi=".AppleSystemUIFont" w:eastAsia="Times New Roman" w:cs="Times New Roman"/>
          <w:i/>
          <w:iCs/>
          <w:color w:val="0E0E0E"/>
          <w:sz w:val="21"/>
          <w:szCs w:val="21"/>
          <w:lang w:val="en-AU" w:eastAsia="zh-CN"/>
        </w:rPr>
      </w:pPr>
    </w:p>
    <w:p w14:paraId="1FBE4739">
      <w:pPr>
        <w:jc w:val="right"/>
      </w:pPr>
      <w:r>
        <w:rPr>
          <w:rFonts w:ascii=".AppleSystemUIFont" w:hAnsi=".AppleSystemUIFont" w:eastAsia="Times New Roman" w:cs="Times New Roman"/>
          <w:i/>
          <w:iCs/>
          <w:color w:val="0E0E0E"/>
          <w:sz w:val="21"/>
          <w:szCs w:val="21"/>
          <w:lang w:val="en-AU" w:eastAsia="zh-CN"/>
        </w:rPr>
        <w:t>This assessment is subject to the Terms &amp; Conditions outlined in this report.</w:t>
      </w:r>
    </w:p>
    <w:p w14:paraId="7C234C5C"/>
    <w:p w14:paraId="2A3AB1D0">
      <w:r>
        <w:br w:type="page"/>
      </w:r>
    </w:p>
    <w:p w14:paraId="498F2C2A">
      <w:pPr>
        <w:pStyle w:val="3"/>
        <w:jc w:val="center"/>
      </w:pPr>
      <w:r>
        <w:t>Overall Electrical Risk Rating</w:t>
      </w:r>
    </w:p>
    <w:p w14:paraId="0D4A186B">
      <w:pPr>
        <w:pStyle w:val="4"/>
        <w:rPr>
          <w:lang w:val="en-AU" w:eastAsia="zh-CN"/>
        </w:rPr>
      </w:pPr>
      <w:r>
        <w:t>Electrical Risk Classification Framework</w:t>
      </w:r>
    </w:p>
    <w:p w14:paraId="4579736F">
      <w:pPr>
        <w:pStyle w:val="52"/>
      </w:pPr>
    </w:p>
    <w:p w14:paraId="672660B3">
      <w:pPr>
        <w:pStyle w:val="52"/>
      </w:pPr>
      <w:r>
        <w:t>This assessment uses a three-tier risk classification framework</w:t>
      </w:r>
    </w:p>
    <w:p w14:paraId="46588E37">
      <w:pPr>
        <w:pStyle w:val="52"/>
      </w:pPr>
      <w:r>
        <w:t xml:space="preserve">designed specifically for </w:t>
      </w:r>
      <w:r>
        <w:rPr>
          <w:rStyle w:val="51"/>
          <w:b/>
          <w:bCs/>
        </w:rPr>
        <w:t>investment decision-making</w:t>
      </w:r>
      <w:r>
        <w:t>, not fault-finding.</w:t>
      </w:r>
    </w:p>
    <w:tbl>
      <w:tblPr>
        <w:tblStyle w:val="19"/>
        <w:tblW w:w="9769" w:type="dxa"/>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656"/>
        <w:gridCol w:w="8113"/>
      </w:tblGrid>
      <w:tr w14:paraId="3C254697">
        <w:trPr>
          <w:trHeight w:val="325" w:hRule="atLeast"/>
          <w:tblHeader/>
          <w:tblCellSpacing w:w="15" w:type="dxa"/>
        </w:trPr>
        <w:tc>
          <w:tcPr>
            <w:tcW w:w="0" w:type="auto"/>
            <w:vAlign w:val="center"/>
          </w:tcPr>
          <w:p w14:paraId="6138B497">
            <w:pPr>
              <w:spacing w:before="100" w:beforeAutospacing="1" w:after="100" w:afterAutospacing="1" w:line="240" w:lineRule="auto"/>
              <w:jc w:val="center"/>
              <w:rPr>
                <w:rFonts w:ascii="Times New Roman" w:hAnsi="Times New Roman" w:eastAsia="Times New Roman" w:cs="Times New Roman"/>
                <w:b/>
                <w:bCs/>
                <w:color w:val="auto"/>
                <w:lang w:val="en-AU" w:eastAsia="zh-CN"/>
              </w:rPr>
            </w:pPr>
            <w:r>
              <w:rPr>
                <w:rFonts w:ascii="Times New Roman" w:hAnsi="Times New Roman" w:eastAsia="Times New Roman" w:cs="Times New Roman"/>
                <w:b/>
                <w:bCs/>
                <w:color w:val="auto"/>
                <w:lang w:val="en-AU" w:eastAsia="zh-CN"/>
              </w:rPr>
              <w:t>Risk Level</w:t>
            </w:r>
          </w:p>
        </w:tc>
        <w:tc>
          <w:tcPr>
            <w:tcW w:w="0" w:type="auto"/>
            <w:vAlign w:val="center"/>
          </w:tcPr>
          <w:p w14:paraId="5774EFED">
            <w:pPr>
              <w:spacing w:before="100" w:beforeAutospacing="1" w:after="100" w:afterAutospacing="1" w:line="240" w:lineRule="auto"/>
              <w:jc w:val="center"/>
              <w:rPr>
                <w:rFonts w:ascii="Times New Roman" w:hAnsi="Times New Roman" w:eastAsia="Times New Roman" w:cs="Times New Roman"/>
                <w:b/>
                <w:bCs/>
                <w:color w:val="auto"/>
                <w:lang w:val="en-AU" w:eastAsia="zh-CN"/>
              </w:rPr>
            </w:pPr>
            <w:r>
              <w:rPr>
                <w:rFonts w:ascii="Times New Roman" w:hAnsi="Times New Roman" w:eastAsia="Times New Roman" w:cs="Times New Roman"/>
                <w:b/>
                <w:bCs/>
                <w:color w:val="auto"/>
                <w:lang w:val="en-AU" w:eastAsia="zh-CN"/>
              </w:rPr>
              <w:t>Definition</w:t>
            </w:r>
          </w:p>
        </w:tc>
      </w:tr>
      <w:tr w14:paraId="60193AE3">
        <w:trPr>
          <w:trHeight w:val="385" w:hRule="atLeast"/>
          <w:tblCellSpacing w:w="15" w:type="dxa"/>
        </w:trPr>
        <w:tc>
          <w:tcPr>
            <w:tcW w:w="0" w:type="auto"/>
            <w:vAlign w:val="center"/>
          </w:tcPr>
          <w:p w14:paraId="7D11F37B">
            <w:pPr>
              <w:spacing w:before="100" w:beforeAutospacing="1" w:after="100" w:afterAutospacing="1" w:line="240" w:lineRule="auto"/>
              <w:rPr>
                <w:rFonts w:ascii="Times New Roman" w:hAnsi="Times New Roman" w:eastAsia="Times New Roman" w:cs="Times New Roman"/>
                <w:color w:val="auto"/>
                <w:lang w:val="en-AU" w:eastAsia="zh-CN"/>
              </w:rPr>
            </w:pPr>
            <w:r>
              <w:rPr>
                <w:rFonts w:ascii="Apple Color Emoji" w:hAnsi="Apple Color Emoji" w:eastAsia="Times New Roman" w:cs="Apple Color Emoji"/>
                <w:color w:val="auto"/>
                <w:lang w:val="en-AU" w:eastAsia="zh-CN"/>
              </w:rPr>
              <w:t>🟢</w:t>
            </w:r>
            <w:r>
              <w:rPr>
                <w:rFonts w:ascii="Times New Roman" w:hAnsi="Times New Roman" w:eastAsia="Times New Roman" w:cs="Times New Roman"/>
                <w:color w:val="auto"/>
                <w:lang w:val="en-AU" w:eastAsia="zh-CN"/>
              </w:rPr>
              <w:t xml:space="preserve"> Low</w:t>
            </w:r>
          </w:p>
        </w:tc>
        <w:tc>
          <w:tcPr>
            <w:tcW w:w="0" w:type="auto"/>
            <w:vAlign w:val="center"/>
          </w:tcPr>
          <w:p w14:paraId="34B6B3B7">
            <w:pPr>
              <w:spacing w:before="100" w:beforeAutospacing="1" w:after="100" w:afterAutospacing="1" w:line="240" w:lineRule="auto"/>
              <w:rPr>
                <w:rFonts w:ascii="Times New Roman" w:hAnsi="Times New Roman" w:eastAsia="Times New Roman" w:cs="Times New Roman"/>
                <w:color w:val="auto"/>
                <w:lang w:val="en-AU" w:eastAsia="zh-CN"/>
              </w:rPr>
            </w:pPr>
            <w:r>
              <w:rPr>
                <w:rFonts w:ascii="Times New Roman" w:hAnsi="Times New Roman" w:eastAsia="Times New Roman" w:cs="Times New Roman"/>
                <w:color w:val="auto"/>
                <w:lang w:val="en-AU" w:eastAsia="zh-CN"/>
              </w:rPr>
              <w:t>Condition consistent with safe operation; no action recommended</w:t>
            </w:r>
          </w:p>
        </w:tc>
      </w:tr>
      <w:tr w14:paraId="6254BC52">
        <w:trPr>
          <w:trHeight w:val="385" w:hRule="atLeast"/>
          <w:tblCellSpacing w:w="15" w:type="dxa"/>
        </w:trPr>
        <w:tc>
          <w:tcPr>
            <w:tcW w:w="0" w:type="auto"/>
            <w:vAlign w:val="center"/>
          </w:tcPr>
          <w:p w14:paraId="42F4F446">
            <w:pPr>
              <w:spacing w:before="100" w:beforeAutospacing="1" w:after="100" w:afterAutospacing="1" w:line="240" w:lineRule="auto"/>
              <w:rPr>
                <w:rFonts w:ascii="Times New Roman" w:hAnsi="Times New Roman" w:eastAsia="Times New Roman" w:cs="Times New Roman"/>
                <w:color w:val="auto"/>
                <w:lang w:val="en-AU" w:eastAsia="zh-CN"/>
              </w:rPr>
            </w:pPr>
            <w:r>
              <w:rPr>
                <w:rFonts w:ascii="Apple Color Emoji" w:hAnsi="Apple Color Emoji" w:eastAsia="Times New Roman" w:cs="Apple Color Emoji"/>
                <w:color w:val="auto"/>
                <w:lang w:val="en-AU" w:eastAsia="zh-CN"/>
              </w:rPr>
              <w:t>🟡</w:t>
            </w:r>
            <w:r>
              <w:rPr>
                <w:rFonts w:ascii="Times New Roman" w:hAnsi="Times New Roman" w:eastAsia="Times New Roman" w:cs="Times New Roman"/>
                <w:color w:val="auto"/>
                <w:lang w:val="en-AU" w:eastAsia="zh-CN"/>
              </w:rPr>
              <w:t xml:space="preserve"> Moderate</w:t>
            </w:r>
          </w:p>
        </w:tc>
        <w:tc>
          <w:tcPr>
            <w:tcW w:w="0" w:type="auto"/>
            <w:vAlign w:val="center"/>
          </w:tcPr>
          <w:p w14:paraId="4A4C0B27">
            <w:pPr>
              <w:spacing w:before="100" w:beforeAutospacing="1" w:after="100" w:afterAutospacing="1" w:line="240" w:lineRule="auto"/>
              <w:rPr>
                <w:rFonts w:ascii="Times New Roman" w:hAnsi="Times New Roman" w:eastAsia="Times New Roman" w:cs="Times New Roman"/>
                <w:color w:val="auto"/>
                <w:lang w:val="en-AU" w:eastAsia="zh-CN"/>
              </w:rPr>
            </w:pPr>
            <w:r>
              <w:rPr>
                <w:rFonts w:ascii="Times New Roman" w:hAnsi="Times New Roman" w:eastAsia="Times New Roman" w:cs="Times New Roman"/>
                <w:color w:val="auto"/>
                <w:lang w:val="en-AU" w:eastAsia="zh-CN"/>
              </w:rPr>
              <w:t>Acceptable condition with identifiable ageing or legacy factors</w:t>
            </w:r>
          </w:p>
        </w:tc>
      </w:tr>
      <w:tr w14:paraId="5AC78F41">
        <w:trPr>
          <w:trHeight w:val="370" w:hRule="atLeast"/>
          <w:tblCellSpacing w:w="15" w:type="dxa"/>
        </w:trPr>
        <w:tc>
          <w:tcPr>
            <w:tcW w:w="0" w:type="auto"/>
            <w:vAlign w:val="center"/>
          </w:tcPr>
          <w:p w14:paraId="67C977DE">
            <w:pPr>
              <w:spacing w:before="100" w:beforeAutospacing="1" w:after="100" w:afterAutospacing="1" w:line="240" w:lineRule="auto"/>
              <w:rPr>
                <w:rFonts w:ascii="Times New Roman" w:hAnsi="Times New Roman" w:eastAsia="Times New Roman" w:cs="Times New Roman"/>
                <w:color w:val="auto"/>
                <w:lang w:val="en-AU" w:eastAsia="zh-CN"/>
              </w:rPr>
            </w:pPr>
            <w:r>
              <w:rPr>
                <w:rFonts w:ascii="Apple Color Emoji" w:hAnsi="Apple Color Emoji" w:eastAsia="Times New Roman" w:cs="Apple Color Emoji"/>
                <w:color w:val="auto"/>
                <w:lang w:val="en-AU" w:eastAsia="zh-CN"/>
              </w:rPr>
              <w:t>🔴</w:t>
            </w:r>
            <w:r>
              <w:rPr>
                <w:rFonts w:ascii="Times New Roman" w:hAnsi="Times New Roman" w:eastAsia="Times New Roman" w:cs="Times New Roman"/>
                <w:color w:val="auto"/>
                <w:lang w:val="en-AU" w:eastAsia="zh-CN"/>
              </w:rPr>
              <w:t xml:space="preserve"> High</w:t>
            </w:r>
          </w:p>
        </w:tc>
        <w:tc>
          <w:tcPr>
            <w:tcW w:w="0" w:type="auto"/>
            <w:vAlign w:val="center"/>
          </w:tcPr>
          <w:p w14:paraId="370876EF">
            <w:pPr>
              <w:spacing w:before="100" w:beforeAutospacing="1" w:after="100" w:afterAutospacing="1" w:line="240" w:lineRule="auto"/>
              <w:rPr>
                <w:rFonts w:ascii="Times New Roman" w:hAnsi="Times New Roman" w:eastAsia="Times New Roman" w:cs="Times New Roman"/>
                <w:color w:val="auto"/>
                <w:lang w:val="en-AU" w:eastAsia="zh-CN"/>
              </w:rPr>
            </w:pPr>
            <w:r>
              <w:rPr>
                <w:rFonts w:ascii="Times New Roman" w:hAnsi="Times New Roman" w:eastAsia="Times New Roman" w:cs="Times New Roman"/>
                <w:color w:val="auto"/>
                <w:lang w:val="en-AU" w:eastAsia="zh-CN"/>
              </w:rPr>
              <w:t>Condition presents elevated safety or failure risk</w:t>
            </w:r>
          </w:p>
        </w:tc>
      </w:tr>
    </w:tbl>
    <w:p w14:paraId="19D0950F">
      <w:pPr>
        <w:rPr>
          <w:rStyle w:val="49"/>
        </w:rPr>
      </w:pPr>
      <w:r>
        <w:rPr>
          <w:rStyle w:val="49"/>
        </w:rPr>
        <w:pict>
          <v:rect id="_x0000_i1029" o:spt="1" style="height:0.05pt;width:451.3pt;" fillcolor="#A0A0A0" filled="t" stroked="f" coordsize="21600,21600" o:hr="t" o:hrstd="t" o:hralign="center">
            <v:path/>
            <v:fill on="t" focussize="0,0"/>
            <v:stroke on="f"/>
            <v:imagedata o:title=""/>
            <o:lock v:ext="edit"/>
            <w10:wrap type="none"/>
            <w10:anchorlock/>
          </v:rect>
        </w:pict>
      </w:r>
    </w:p>
    <w:p w14:paraId="1A01C6B7">
      <w:pPr>
        <w:pStyle w:val="4"/>
      </w:pPr>
      <w:r>
        <w:t>Current Property Risk Rating:     {{RISK_RATING_BADGE}}</w:t>
      </w:r>
    </w:p>
    <w:p w14:paraId="188C2BE5">
      <w:pPr>
        <w:pStyle w:val="52"/>
      </w:pPr>
    </w:p>
    <w:p w14:paraId="51311141">
      <w:pPr>
        <w:pStyle w:val="52"/>
      </w:pPr>
      <w:r>
        <w:t>This rating reflects:</w:t>
      </w:r>
    </w:p>
    <w:p w14:paraId="43E7DFAF">
      <w:r>
        <w:t>{{RISK_RATING_FACTORS}}</w:t>
      </w:r>
    </w:p>
    <w:p w14:paraId="64B88BE2">
      <w:pPr>
        <w:pStyle w:val="50"/>
      </w:pPr>
    </w:p>
    <w:p w14:paraId="1E310F1A">
      <w:pPr>
        <w:pStyle w:val="13"/>
        <w:numPr>
          <w:ilvl w:val="0"/>
          <w:numId w:val="0"/>
        </w:numPr>
        <w:rPr>
          <w:b/>
          <w:bCs/>
          <w:lang w:val="en-AU" w:eastAsia="zh-CN"/>
        </w:rPr>
      </w:pPr>
    </w:p>
    <w:p w14:paraId="5BDFEF1D">
      <w:pPr>
        <w:pStyle w:val="13"/>
        <w:numPr>
          <w:ilvl w:val="0"/>
          <w:numId w:val="0"/>
        </w:numPr>
        <w:rPr>
          <w:b/>
          <w:bCs/>
          <w:lang w:val="en-AU" w:eastAsia="zh-CN"/>
        </w:rPr>
      </w:pPr>
    </w:p>
    <w:p w14:paraId="4A747E96">
      <w:r>
        <w:br w:type="page"/>
      </w:r>
    </w:p>
    <w:p w14:paraId="56AE9C25">
      <w:pPr>
        <w:pStyle w:val="3"/>
        <w:jc w:val="center"/>
      </w:pPr>
      <w:r>
        <w:t>Immediate Attention Items</w:t>
      </w:r>
    </w:p>
    <w:p w14:paraId="03A90C0A">
      <w:pPr>
        <w:pStyle w:val="50"/>
      </w:pPr>
    </w:p>
    <w:p w14:paraId="40D9B82C">
      <w:pPr>
        <w:pStyle w:val="50"/>
      </w:pPr>
    </w:p>
    <w:p w14:paraId="442AE80F">
      <w:pPr>
        <w:pStyle w:val="50"/>
      </w:pPr>
    </w:p>
    <w:p w14:paraId="073F91E2">
      <w:pPr>
        <w:pStyle w:val="4"/>
      </w:pPr>
      <w:r>
        <w:rPr>
          <w:rFonts w:ascii="Apple Color Emoji" w:hAnsi="Apple Color Emoji" w:cs="Apple Color Emoji"/>
        </w:rPr>
        <w:t>🔴</w:t>
      </w:r>
      <w:r>
        <w:t xml:space="preserve"> Immediate Safety Risks</w:t>
      </w:r>
    </w:p>
    <w:p w14:paraId="2CCC520F">
      <w:pPr>
        <w:pStyle w:val="50"/>
      </w:pPr>
    </w:p>
    <w:p w14:paraId="20769E2B">
      <w:r>
        <w:t>{{IMMEDIATE_FINDINGS}}</w:t>
      </w:r>
    </w:p>
    <w:p w14:paraId="07CBF80C">
      <w:pPr>
        <w:pStyle w:val="50"/>
      </w:pPr>
    </w:p>
    <w:p w14:paraId="248B8936">
      <w:pPr>
        <w:pStyle w:val="55"/>
      </w:pPr>
      <w:r>
        <w:t>Specifically, the assessment found:</w:t>
      </w:r>
    </w:p>
    <w:p w14:paraId="3A956847">
      <w:r>
        <w:t>{{URGENT_NOT_FINDINGS}}</w:t>
      </w:r>
    </w:p>
    <w:p w14:paraId="24950A74">
      <w:pPr>
        <w:pStyle w:val="50"/>
      </w:pPr>
    </w:p>
    <w:p w14:paraId="13A04394">
      <w:pPr>
        <w:pStyle w:val="17"/>
        <w:keepNext w:val="0"/>
        <w:keepLines w:val="0"/>
        <w:widowControl/>
        <w:suppressLineNumbers w:val="0"/>
        <w:spacing w:before="0" w:beforeAutospacing="1" w:after="0" w:afterAutospacing="1"/>
        <w:ind w:left="0" w:right="0"/>
      </w:pPr>
      <w:r>
        <w:t xml:space="preserve">The absence of immediate risks does </w:t>
      </w:r>
      <w:r>
        <w:rPr>
          <w:rStyle w:val="49"/>
          <w:b/>
          <w:bCs/>
        </w:rPr>
        <w:t>not</w:t>
      </w:r>
      <w:r>
        <w:t xml:space="preserve"> preclude future degradation and should be reviewed periodically as part of responsible asset management.</w:t>
      </w:r>
    </w:p>
    <w:p w14:paraId="26801548">
      <w:pPr>
        <w:rPr>
          <w:lang w:eastAsia="zh-CN"/>
        </w:rPr>
      </w:pPr>
    </w:p>
    <w:p w14:paraId="6D937C16">
      <w:pPr>
        <w:rPr>
          <w:lang w:val="en-AU" w:eastAsia="zh-CN"/>
        </w:rPr>
      </w:pPr>
      <w:r>
        <w:rPr>
          <w:lang w:val="en-AU" w:eastAsia="zh-CN"/>
        </w:rPr>
        <w:br w:type="page"/>
      </w:r>
    </w:p>
    <w:p w14:paraId="04347F12">
      <w:pPr>
        <w:pStyle w:val="3"/>
        <w:jc w:val="center"/>
        <w:rPr>
          <w:lang w:val="en-AU"/>
        </w:rPr>
      </w:pPr>
      <w:r>
        <w:t>Monitoring &amp; Planned Action Items</w:t>
      </w:r>
    </w:p>
    <w:p w14:paraId="6CFB7D66">
      <w:pPr>
        <w:pStyle w:val="50"/>
      </w:pPr>
    </w:p>
    <w:p w14:paraId="3815F8EA">
      <w:pPr>
        <w:pStyle w:val="50"/>
      </w:pPr>
    </w:p>
    <w:p w14:paraId="0706A42D">
      <w:pPr>
        <w:pStyle w:val="4"/>
      </w:pPr>
      <w:r>
        <w:rPr>
          <w:rFonts w:ascii="Apple Color Emoji" w:hAnsi="Apple Color Emoji" w:cs="Apple Color Emoji"/>
        </w:rPr>
        <w:t>🟠</w:t>
      </w:r>
      <w:r>
        <w:t xml:space="preserve"> Items Requiring Monitoring or Planned Attention</w:t>
      </w:r>
    </w:p>
    <w:p w14:paraId="24D4F80A">
      <w:pPr>
        <w:pStyle w:val="50"/>
      </w:pPr>
    </w:p>
    <w:p w14:paraId="2255E197">
      <w:r>
        <w:t>{{RECOMMENDED_FINDINGS}}</w:t>
      </w:r>
    </w:p>
    <w:p w14:paraId="6FA57994">
      <w:pPr>
        <w:pStyle w:val="50"/>
      </w:pPr>
    </w:p>
    <w:p w14:paraId="0D10ED6F">
      <w:pPr>
        <w:pStyle w:val="52"/>
      </w:pPr>
      <w:r>
        <w:rPr>
          <w:b/>
          <w:bCs/>
        </w:rPr>
        <w:t>Planning Guidance:</w:t>
      </w:r>
    </w:p>
    <w:p w14:paraId="5D717ADD">
      <w:pPr>
        <w:pStyle w:val="55"/>
      </w:pPr>
      <w:r>
        <w:t xml:space="preserve">Review condition within </w:t>
      </w:r>
      <w:r>
        <w:rPr>
          <w:rStyle w:val="51"/>
          <w:b/>
          <w:bCs/>
        </w:rPr>
        <w:t>12–24 months</w:t>
      </w:r>
      <w:r>
        <w:t>,</w:t>
      </w:r>
    </w:p>
    <w:p w14:paraId="65834B52">
      <w:pPr>
        <w:pStyle w:val="55"/>
      </w:pPr>
      <w:r>
        <w:t>or earlier if load demand increases (e.g. air conditioning upgrades).</w:t>
      </w:r>
    </w:p>
    <w:p w14:paraId="78ED7D39">
      <w:pPr>
        <w:rPr>
          <w:rStyle w:val="49"/>
        </w:rPr>
      </w:pPr>
      <w:r>
        <w:rPr>
          <w:rStyle w:val="49"/>
        </w:rPr>
        <w:pict>
          <v:rect id="_x0000_i1030" o:spt="1" style="height:0.05pt;width:451.3pt;" fillcolor="#A0A0A0" filled="t" stroked="f" coordsize="21600,21600" o:hr="t" o:hrstd="t" o:hralign="center">
            <v:path/>
            <v:fill on="t" focussize="0,0"/>
            <v:stroke on="f"/>
            <v:imagedata o:title=""/>
            <o:lock v:ext="edit"/>
            <w10:wrap type="none"/>
            <w10:anchorlock/>
          </v:rect>
        </w:pict>
      </w:r>
    </w:p>
    <w:p w14:paraId="49E9FE40">
      <w:pPr>
        <w:pStyle w:val="5"/>
      </w:pPr>
      <w:r>
        <w:t>2. Lighting Circuits – Absence of RCD Protection</w:t>
      </w:r>
    </w:p>
    <w:p w14:paraId="30CBB18C">
      <w:pPr>
        <w:pStyle w:val="48"/>
        <w:numPr>
          <w:ilvl w:val="0"/>
          <w:numId w:val="8"/>
        </w:numPr>
      </w:pPr>
      <w:r>
        <w:t>Acceptable under current usage patterns</w:t>
      </w:r>
    </w:p>
    <w:p w14:paraId="1167089A">
      <w:pPr>
        <w:pStyle w:val="48"/>
        <w:numPr>
          <w:ilvl w:val="0"/>
          <w:numId w:val="8"/>
        </w:numPr>
      </w:pPr>
      <w:r>
        <w:t>No immediate safety concern identified</w:t>
      </w:r>
    </w:p>
    <w:p w14:paraId="38C1AD06">
      <w:pPr>
        <w:pStyle w:val="50"/>
      </w:pPr>
    </w:p>
    <w:p w14:paraId="7917980B">
      <w:pPr>
        <w:pStyle w:val="52"/>
      </w:pPr>
      <w:r>
        <w:rPr>
          <w:b/>
          <w:bCs/>
        </w:rPr>
        <w:t>Planning Guidance:</w:t>
      </w:r>
    </w:p>
    <w:p w14:paraId="1930C82C">
      <w:pPr>
        <w:pStyle w:val="55"/>
      </w:pPr>
      <w:r>
        <w:t>Consider inclusion of RCD protection</w:t>
      </w:r>
    </w:p>
    <w:p w14:paraId="7F7C024B">
      <w:pPr>
        <w:pStyle w:val="55"/>
      </w:pPr>
      <w:r>
        <w:t>during future renovation or electrical upgrades.</w:t>
      </w:r>
    </w:p>
    <w:p w14:paraId="6AF8AA8D">
      <w:pPr>
        <w:pStyle w:val="13"/>
        <w:numPr>
          <w:ilvl w:val="0"/>
          <w:numId w:val="0"/>
        </w:numPr>
        <w:rPr>
          <w:lang w:val="en-AU" w:eastAsia="zh-CN"/>
        </w:rPr>
      </w:pPr>
    </w:p>
    <w:p w14:paraId="4906DC81">
      <w:pPr>
        <w:pStyle w:val="3"/>
        <w:jc w:val="center"/>
      </w:pPr>
      <w:r>
        <w:rPr>
          <w:lang w:val="en-AU" w:eastAsia="zh-CN"/>
        </w:rPr>
        <w:br w:type="page"/>
      </w:r>
      <w:r>
        <w:t>Items Not Requiring Action</w:t>
      </w:r>
    </w:p>
    <w:p w14:paraId="274623B2">
      <w:pPr>
        <w:pStyle w:val="50"/>
      </w:pPr>
    </w:p>
    <w:p w14:paraId="48D42D8B">
      <w:pPr>
        <w:pStyle w:val="4"/>
      </w:pPr>
      <w:r>
        <w:rPr>
          <w:rFonts w:ascii="Apple Color Emoji" w:hAnsi="Apple Color Emoji" w:cs="Apple Color Emoji"/>
        </w:rPr>
        <w:t>🟢</w:t>
      </w:r>
      <w:r>
        <w:t xml:space="preserve"> Items Not Requiring Action at This Time</w:t>
      </w:r>
    </w:p>
    <w:p w14:paraId="0EE40B16">
      <w:pPr>
        <w:pStyle w:val="50"/>
      </w:pPr>
    </w:p>
    <w:p w14:paraId="11337BEF">
      <w:pPr>
        <w:pStyle w:val="52"/>
      </w:pPr>
      <w:r>
        <w:t>The following components were assessed</w:t>
      </w:r>
      <w:r>
        <w:rPr>
          <w:rFonts w:hint="default"/>
          <w:lang w:val="en-US"/>
        </w:rPr>
        <w:t xml:space="preserve"> </w:t>
      </w:r>
      <w:bookmarkStart w:id="0" w:name="_GoBack"/>
      <w:bookmarkEnd w:id="0"/>
      <w:r>
        <w:t>and found to be operating within acceptable parameters:</w:t>
      </w:r>
    </w:p>
    <w:p w14:paraId="041E56EB">
      <w:r>
        <w:t>{{PLAN_MONITOR_FINDINGS}}</w:t>
      </w:r>
    </w:p>
    <w:p w14:paraId="3E40AE57">
      <w:pPr>
        <w:pStyle w:val="50"/>
      </w:pPr>
    </w:p>
    <w:p w14:paraId="5C418D7E">
      <w:pPr>
        <w:rPr>
          <w:rFonts w:ascii="Helvetica Neue" w:hAnsi="Helvetica Neue"/>
          <w:color w:val="0E0E0E"/>
          <w:sz w:val="21"/>
          <w:szCs w:val="21"/>
        </w:rPr>
      </w:pPr>
      <w:r>
        <w:rPr>
          <w:rFonts w:ascii="Helvetica Neue" w:hAnsi="Helvetica Neue"/>
          <w:b/>
          <w:bCs/>
          <w:color w:val="0E0E0E"/>
          <w:sz w:val="21"/>
          <w:szCs w:val="21"/>
        </w:rPr>
        <w:t>No action is recommended</w:t>
      </w:r>
      <w:r>
        <w:rPr>
          <w:rStyle w:val="51"/>
          <w:rFonts w:ascii="Helvetica Neue" w:hAnsi="Helvetica Neue"/>
          <w:color w:val="0E0E0E"/>
          <w:sz w:val="21"/>
          <w:szCs w:val="21"/>
        </w:rPr>
        <w:t xml:space="preserve"> for the above items</w:t>
      </w:r>
    </w:p>
    <w:p w14:paraId="59DE1115">
      <w:pPr>
        <w:rPr>
          <w:rFonts w:ascii=".AppleSystemUIFont" w:hAnsi=".AppleSystemUIFont"/>
          <w:color w:val="0E0E0E"/>
          <w:sz w:val="21"/>
          <w:szCs w:val="21"/>
        </w:rPr>
      </w:pPr>
      <w:r>
        <w:rPr>
          <w:rFonts w:ascii=".AppleSystemUIFont" w:hAnsi=".AppleSystemUIFont"/>
          <w:color w:val="0E0E0E"/>
          <w:sz w:val="21"/>
          <w:szCs w:val="21"/>
        </w:rPr>
        <w:t>based on current observations.</w:t>
      </w:r>
    </w:p>
    <w:p w14:paraId="49EB2FFC">
      <w:pPr>
        <w:rPr>
          <w:lang w:val="en-AU" w:eastAsia="zh-CN"/>
        </w:rPr>
      </w:pPr>
    </w:p>
    <w:p w14:paraId="3252293A">
      <w:pPr>
        <w:rPr>
          <w:lang w:val="en-AU" w:eastAsia="zh-CN"/>
        </w:rPr>
      </w:pPr>
      <w:r>
        <w:rPr>
          <w:lang w:val="en-AU" w:eastAsia="zh-CN"/>
        </w:rPr>
        <w:br w:type="page"/>
      </w:r>
    </w:p>
    <w:p w14:paraId="3B65B8DD">
      <w:pPr>
        <w:pStyle w:val="3"/>
        <w:jc w:val="center"/>
        <w:rPr>
          <w:lang w:val="en-AU"/>
        </w:rPr>
      </w:pPr>
      <w:r>
        <w:t>General Observations &amp; Context</w:t>
      </w:r>
    </w:p>
    <w:p w14:paraId="4871D585">
      <w:pPr>
        <w:pStyle w:val="50"/>
      </w:pPr>
    </w:p>
    <w:p w14:paraId="52192F73">
      <w:pPr>
        <w:pStyle w:val="4"/>
      </w:pPr>
      <w:r>
        <w:t>Installation Context</w:t>
      </w:r>
    </w:p>
    <w:p w14:paraId="0AEB2419">
      <w:pPr>
        <w:pStyle w:val="48"/>
        <w:numPr>
          <w:ilvl w:val="0"/>
          <w:numId w:val="9"/>
        </w:numPr>
      </w:pPr>
      <w:r>
        <w:t>Electrical installation appears consistent with the construction and renovation era of the property</w:t>
      </w:r>
    </w:p>
    <w:p w14:paraId="79D49A69">
      <w:pPr>
        <w:pStyle w:val="48"/>
        <w:numPr>
          <w:ilvl w:val="0"/>
          <w:numId w:val="9"/>
        </w:numPr>
      </w:pPr>
      <w:r>
        <w:t>Partial upgrades suggest staged improvements over time</w:t>
      </w:r>
    </w:p>
    <w:p w14:paraId="6C34AB59">
      <w:pPr>
        <w:pStyle w:val="48"/>
        <w:numPr>
          <w:ilvl w:val="0"/>
          <w:numId w:val="9"/>
        </w:numPr>
      </w:pPr>
      <w:r>
        <w:t>No evidence of unsafe owner-performed modifications observed</w:t>
      </w:r>
    </w:p>
    <w:p w14:paraId="3B9E6341">
      <w:pPr>
        <w:rPr>
          <w:rStyle w:val="49"/>
        </w:rPr>
      </w:pPr>
      <w:r>
        <w:rPr>
          <w:rStyle w:val="49"/>
        </w:rPr>
        <w:pict>
          <v:rect id="_x0000_i1031" o:spt="1" style="height:0.05pt;width:451.3pt;" fillcolor="#A0A0A0" filled="t" stroked="f" coordsize="21600,21600" o:hr="t" o:hrstd="t" o:hralign="center">
            <v:path/>
            <v:fill on="t" focussize="0,0"/>
            <v:stroke on="f"/>
            <v:imagedata o:title=""/>
            <o:lock v:ext="edit"/>
            <w10:wrap type="none"/>
            <w10:anchorlock/>
          </v:rect>
        </w:pict>
      </w:r>
    </w:p>
    <w:p w14:paraId="46527A12">
      <w:pPr>
        <w:pStyle w:val="4"/>
      </w:pPr>
      <w:r>
        <w:t>Operational Context</w:t>
      </w:r>
    </w:p>
    <w:p w14:paraId="6521ECFD">
      <w:pPr>
        <w:pStyle w:val="48"/>
        <w:numPr>
          <w:ilvl w:val="0"/>
          <w:numId w:val="10"/>
        </w:numPr>
      </w:pPr>
      <w:r>
        <w:t>Electrical demand appears aligned with current occupancy profile</w:t>
      </w:r>
    </w:p>
    <w:p w14:paraId="618D87B1">
      <w:pPr>
        <w:pStyle w:val="48"/>
        <w:numPr>
          <w:ilvl w:val="0"/>
          <w:numId w:val="10"/>
        </w:numPr>
      </w:pPr>
      <w:r>
        <w:t>No abnormal load behaviour noted during inspection</w:t>
      </w:r>
    </w:p>
    <w:p w14:paraId="0D9B6CB7">
      <w:pPr>
        <w:pStyle w:val="50"/>
      </w:pPr>
    </w:p>
    <w:p w14:paraId="1EA67309">
      <w:pPr>
        <w:pStyle w:val="52"/>
      </w:pPr>
      <w:r>
        <w:t>These contextual observations support the overall risk rating</w:t>
      </w:r>
    </w:p>
    <w:p w14:paraId="7297EFD7">
      <w:pPr>
        <w:pStyle w:val="52"/>
      </w:pPr>
      <w:r>
        <w:t>and planning recommendations provided.</w:t>
      </w:r>
    </w:p>
    <w:p w14:paraId="025FDC31">
      <w:pPr>
        <w:pStyle w:val="13"/>
        <w:numPr>
          <w:ilvl w:val="0"/>
          <w:numId w:val="0"/>
        </w:numPr>
        <w:rPr>
          <w:lang w:val="en-AU" w:eastAsia="zh-CN"/>
        </w:rPr>
      </w:pPr>
    </w:p>
    <w:p w14:paraId="0D73D6C0">
      <w:pPr>
        <w:rPr>
          <w:lang w:val="en-AU" w:eastAsia="zh-CN"/>
        </w:rPr>
      </w:pPr>
      <w:r>
        <w:rPr>
          <w:lang w:val="en-AU" w:eastAsia="zh-CN"/>
        </w:rPr>
        <w:br w:type="page"/>
      </w:r>
    </w:p>
    <w:p w14:paraId="0C829F60">
      <w:pPr>
        <w:pStyle w:val="3"/>
        <w:bidi w:val="0"/>
      </w:pPr>
      <w:r>
        <w:rPr>
          <w:rStyle w:val="49"/>
          <w:b/>
          <w:bCs/>
        </w:rPr>
        <w:t>Capital Planning &amp; Budget Considerations (0–5 Years)</w:t>
      </w:r>
    </w:p>
    <w:p w14:paraId="0578CC0A">
      <w:pPr>
        <w:pStyle w:val="50"/>
      </w:pPr>
    </w:p>
    <w:p w14:paraId="068ED14D">
      <w:pPr>
        <w:pStyle w:val="4"/>
        <w:bidi w:val="0"/>
      </w:pPr>
      <w:r>
        <w:t xml:space="preserve">The following table provides </w:t>
      </w:r>
      <w:r>
        <w:rPr>
          <w:rStyle w:val="49"/>
          <w:b/>
          <w:bCs/>
        </w:rPr>
        <w:t>indicative market benchmarks</w:t>
      </w:r>
      <w:r>
        <w:t xml:space="preserve"> to support budgeting and financial planning:</w:t>
      </w:r>
    </w:p>
    <w:tbl>
      <w:tblPr>
        <w:tblStyle w:val="1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221"/>
        <w:gridCol w:w="2081"/>
        <w:gridCol w:w="1000"/>
        <w:gridCol w:w="1988"/>
        <w:gridCol w:w="2828"/>
      </w:tblGrid>
      <w:tr w14:paraId="73561A12">
        <w:trPr>
          <w:tblHeader/>
          <w:tblCellSpacing w:w="15" w:type="dxa"/>
        </w:trPr>
        <w:tc>
          <w:tcPr>
            <w:tcW w:w="2176" w:type="dxa"/>
            <w:shd w:val="clear" w:color="auto" w:fill="auto"/>
            <w:vAlign w:val="center"/>
          </w:tcPr>
          <w:p w14:paraId="597E0D43">
            <w:pPr>
              <w:pStyle w:val="17"/>
              <w:keepNext w:val="0"/>
              <w:keepLines w:val="0"/>
              <w:widowControl/>
              <w:suppressLineNumbers w:val="0"/>
              <w:spacing w:before="0" w:beforeAutospacing="1" w:after="0" w:afterAutospacing="1"/>
              <w:ind w:left="0" w:right="0"/>
              <w:jc w:val="center"/>
            </w:pPr>
            <w:r>
              <w:rPr>
                <w:b/>
                <w:bCs/>
              </w:rPr>
              <w:t>Asset Item</w:t>
            </w:r>
          </w:p>
        </w:tc>
        <w:tc>
          <w:tcPr>
            <w:tcW w:w="2051" w:type="dxa"/>
            <w:shd w:val="clear" w:color="auto" w:fill="auto"/>
            <w:vAlign w:val="center"/>
          </w:tcPr>
          <w:p w14:paraId="3AFA7734">
            <w:pPr>
              <w:pStyle w:val="17"/>
              <w:keepNext w:val="0"/>
              <w:keepLines w:val="0"/>
              <w:widowControl/>
              <w:suppressLineNumbers w:val="0"/>
              <w:spacing w:before="0" w:beforeAutospacing="1" w:after="0" w:afterAutospacing="1"/>
              <w:ind w:left="0" w:right="0"/>
              <w:jc w:val="center"/>
            </w:pPr>
            <w:r>
              <w:rPr>
                <w:b/>
                <w:bCs/>
              </w:rPr>
              <w:t>Condition</w:t>
            </w:r>
          </w:p>
        </w:tc>
        <w:tc>
          <w:tcPr>
            <w:tcW w:w="970" w:type="dxa"/>
            <w:shd w:val="clear" w:color="auto" w:fill="auto"/>
            <w:vAlign w:val="center"/>
          </w:tcPr>
          <w:p w14:paraId="70BB2D90">
            <w:pPr>
              <w:pStyle w:val="17"/>
              <w:keepNext w:val="0"/>
              <w:keepLines w:val="0"/>
              <w:widowControl/>
              <w:suppressLineNumbers w:val="0"/>
              <w:spacing w:before="0" w:beforeAutospacing="1" w:after="0" w:afterAutospacing="1"/>
              <w:ind w:left="0" w:right="0"/>
              <w:jc w:val="center"/>
            </w:pPr>
            <w:r>
              <w:rPr>
                <w:b/>
                <w:bCs/>
              </w:rPr>
              <w:t>Priority</w:t>
            </w:r>
          </w:p>
        </w:tc>
        <w:tc>
          <w:tcPr>
            <w:tcW w:w="1958" w:type="dxa"/>
            <w:shd w:val="clear" w:color="auto" w:fill="auto"/>
            <w:vAlign w:val="center"/>
          </w:tcPr>
          <w:p w14:paraId="7E110BF0">
            <w:pPr>
              <w:pStyle w:val="17"/>
              <w:keepNext w:val="0"/>
              <w:keepLines w:val="0"/>
              <w:widowControl/>
              <w:suppressLineNumbers w:val="0"/>
              <w:spacing w:before="0" w:beforeAutospacing="1" w:after="0" w:afterAutospacing="1"/>
              <w:ind w:left="0" w:right="0"/>
              <w:jc w:val="center"/>
            </w:pPr>
            <w:r>
              <w:rPr>
                <w:b/>
                <w:bCs/>
              </w:rPr>
              <w:t>Planning Horizon</w:t>
            </w:r>
          </w:p>
        </w:tc>
        <w:tc>
          <w:tcPr>
            <w:tcW w:w="2783" w:type="dxa"/>
            <w:shd w:val="clear" w:color="auto" w:fill="auto"/>
            <w:vAlign w:val="center"/>
          </w:tcPr>
          <w:p w14:paraId="0BDA2AB1">
            <w:pPr>
              <w:pStyle w:val="17"/>
              <w:keepNext w:val="0"/>
              <w:keepLines w:val="0"/>
              <w:widowControl/>
              <w:suppressLineNumbers w:val="0"/>
              <w:spacing w:before="0" w:beforeAutospacing="1" w:after="0" w:afterAutospacing="1"/>
              <w:ind w:left="0" w:right="0"/>
              <w:jc w:val="center"/>
            </w:pPr>
            <w:r>
              <w:rPr>
                <w:b/>
                <w:bCs/>
              </w:rPr>
              <w:t>Budgetary Estimate</w:t>
            </w:r>
          </w:p>
        </w:tc>
      </w:tr>
      <w:tr w14:paraId="05133296">
        <w:trPr>
          <w:tblCellSpacing w:w="15" w:type="dxa"/>
        </w:trPr>
        <w:tc>
          <w:tcPr>
            <w:tcW w:w="2176" w:type="dxa"/>
            <w:shd w:val="clear" w:color="auto" w:fill="auto"/>
            <w:vAlign w:val="center"/>
          </w:tcPr>
          <w:p w14:paraId="5E8C1468">
            <w:pPr>
              <w:pStyle w:val="17"/>
              <w:keepNext w:val="0"/>
              <w:keepLines w:val="0"/>
              <w:widowControl/>
              <w:suppressLineNumbers w:val="0"/>
              <w:spacing w:before="0" w:beforeAutospacing="1" w:after="0" w:afterAutospacing="1"/>
              <w:ind w:left="0" w:right="0"/>
            </w:pPr>
            <w:r>
              <w:t>Main Switchboard</w:t>
            </w:r>
          </w:p>
        </w:tc>
        <w:tc>
          <w:tcPr>
            <w:tcW w:w="2051" w:type="dxa"/>
            <w:shd w:val="clear" w:color="auto" w:fill="auto"/>
            <w:vAlign w:val="center"/>
          </w:tcPr>
          <w:p w14:paraId="2542B793">
            <w:pPr>
              <w:pStyle w:val="17"/>
              <w:keepNext w:val="0"/>
              <w:keepLines w:val="0"/>
              <w:widowControl/>
              <w:suppressLineNumbers w:val="0"/>
              <w:spacing w:before="0" w:beforeAutospacing="1" w:after="0" w:afterAutospacing="1"/>
              <w:ind w:left="0" w:right="0"/>
            </w:pPr>
            <w:r>
              <w:t>Aged configuration</w:t>
            </w:r>
          </w:p>
        </w:tc>
        <w:tc>
          <w:tcPr>
            <w:tcW w:w="970" w:type="dxa"/>
            <w:shd w:val="clear" w:color="auto" w:fill="auto"/>
            <w:vAlign w:val="center"/>
          </w:tcPr>
          <w:p w14:paraId="7E034CDB">
            <w:pPr>
              <w:pStyle w:val="17"/>
              <w:keepNext w:val="0"/>
              <w:keepLines w:val="0"/>
              <w:widowControl/>
              <w:suppressLineNumbers w:val="0"/>
              <w:spacing w:before="0" w:beforeAutospacing="1" w:after="0" w:afterAutospacing="1"/>
              <w:ind w:left="0" w:right="0"/>
            </w:pPr>
            <w:r>
              <w:t>Medium</w:t>
            </w:r>
          </w:p>
        </w:tc>
        <w:tc>
          <w:tcPr>
            <w:tcW w:w="1958" w:type="dxa"/>
            <w:shd w:val="clear" w:color="auto" w:fill="auto"/>
            <w:vAlign w:val="center"/>
          </w:tcPr>
          <w:p w14:paraId="0E9C7D8C">
            <w:pPr>
              <w:pStyle w:val="17"/>
              <w:keepNext w:val="0"/>
              <w:keepLines w:val="0"/>
              <w:widowControl/>
              <w:suppressLineNumbers w:val="0"/>
              <w:spacing w:before="0" w:beforeAutospacing="1" w:after="0" w:afterAutospacing="1"/>
              <w:ind w:left="0" w:right="0"/>
            </w:pPr>
            <w:r>
              <w:t>12–24 months</w:t>
            </w:r>
          </w:p>
        </w:tc>
        <w:tc>
          <w:tcPr>
            <w:tcW w:w="2783" w:type="dxa"/>
            <w:shd w:val="clear" w:color="auto" w:fill="auto"/>
            <w:vAlign w:val="center"/>
          </w:tcPr>
          <w:p w14:paraId="3ECF496C">
            <w:pPr>
              <w:pStyle w:val="17"/>
              <w:keepNext w:val="0"/>
              <w:keepLines w:val="0"/>
              <w:widowControl/>
              <w:suppressLineNumbers w:val="0"/>
              <w:spacing w:before="0" w:beforeAutospacing="1" w:after="0" w:afterAutospacing="1"/>
              <w:ind w:left="0" w:right="0"/>
            </w:pPr>
            <w:r>
              <w:t>$1,800 – $2,500</w:t>
            </w:r>
          </w:p>
        </w:tc>
      </w:tr>
      <w:tr w14:paraId="4926C07C">
        <w:trPr>
          <w:tblCellSpacing w:w="15" w:type="dxa"/>
        </w:trPr>
        <w:tc>
          <w:tcPr>
            <w:tcW w:w="2176" w:type="dxa"/>
            <w:shd w:val="clear" w:color="auto" w:fill="auto"/>
            <w:vAlign w:val="center"/>
          </w:tcPr>
          <w:p w14:paraId="1BDD2684">
            <w:pPr>
              <w:pStyle w:val="17"/>
              <w:keepNext w:val="0"/>
              <w:keepLines w:val="0"/>
              <w:widowControl/>
              <w:suppressLineNumbers w:val="0"/>
              <w:spacing w:before="0" w:beforeAutospacing="1" w:after="0" w:afterAutospacing="1"/>
              <w:ind w:left="0" w:right="0"/>
            </w:pPr>
            <w:r>
              <w:t>Smoke Alarms</w:t>
            </w:r>
          </w:p>
        </w:tc>
        <w:tc>
          <w:tcPr>
            <w:tcW w:w="2051" w:type="dxa"/>
            <w:shd w:val="clear" w:color="auto" w:fill="auto"/>
            <w:vAlign w:val="center"/>
          </w:tcPr>
          <w:p w14:paraId="2C8E080E">
            <w:pPr>
              <w:pStyle w:val="17"/>
              <w:keepNext w:val="0"/>
              <w:keepLines w:val="0"/>
              <w:widowControl/>
              <w:suppressLineNumbers w:val="0"/>
              <w:spacing w:before="0" w:beforeAutospacing="1" w:after="0" w:afterAutospacing="1"/>
              <w:ind w:left="0" w:right="0"/>
            </w:pPr>
            <w:r>
              <w:t>Functional, ageing</w:t>
            </w:r>
          </w:p>
        </w:tc>
        <w:tc>
          <w:tcPr>
            <w:tcW w:w="970" w:type="dxa"/>
            <w:shd w:val="clear" w:color="auto" w:fill="auto"/>
            <w:vAlign w:val="center"/>
          </w:tcPr>
          <w:p w14:paraId="73665E6B">
            <w:pPr>
              <w:pStyle w:val="17"/>
              <w:keepNext w:val="0"/>
              <w:keepLines w:val="0"/>
              <w:widowControl/>
              <w:suppressLineNumbers w:val="0"/>
              <w:spacing w:before="0" w:beforeAutospacing="1" w:after="0" w:afterAutospacing="1"/>
              <w:ind w:left="0" w:right="0"/>
            </w:pPr>
            <w:r>
              <w:t>Low</w:t>
            </w:r>
          </w:p>
        </w:tc>
        <w:tc>
          <w:tcPr>
            <w:tcW w:w="1958" w:type="dxa"/>
            <w:shd w:val="clear" w:color="auto" w:fill="auto"/>
            <w:vAlign w:val="center"/>
          </w:tcPr>
          <w:p w14:paraId="0C7474AC">
            <w:pPr>
              <w:pStyle w:val="17"/>
              <w:keepNext w:val="0"/>
              <w:keepLines w:val="0"/>
              <w:widowControl/>
              <w:suppressLineNumbers w:val="0"/>
              <w:spacing w:before="0" w:beforeAutospacing="1" w:after="0" w:afterAutospacing="1"/>
              <w:ind w:left="0" w:right="0"/>
            </w:pPr>
            <w:r>
              <w:t>24 months</w:t>
            </w:r>
          </w:p>
        </w:tc>
        <w:tc>
          <w:tcPr>
            <w:tcW w:w="2783" w:type="dxa"/>
            <w:shd w:val="clear" w:color="auto" w:fill="auto"/>
            <w:vAlign w:val="center"/>
          </w:tcPr>
          <w:p w14:paraId="2DC5D4DD">
            <w:pPr>
              <w:pStyle w:val="17"/>
              <w:keepNext w:val="0"/>
              <w:keepLines w:val="0"/>
              <w:widowControl/>
              <w:suppressLineNumbers w:val="0"/>
              <w:spacing w:before="0" w:beforeAutospacing="1" w:after="0" w:afterAutospacing="1"/>
              <w:ind w:left="0" w:right="0"/>
            </w:pPr>
            <w:r>
              <w:t>$350 – $450</w:t>
            </w:r>
          </w:p>
        </w:tc>
      </w:tr>
      <w:tr w14:paraId="4220D004">
        <w:trPr>
          <w:trHeight w:val="512" w:hRule="atLeast"/>
          <w:tblCellSpacing w:w="15" w:type="dxa"/>
        </w:trPr>
        <w:tc>
          <w:tcPr>
            <w:tcW w:w="2176" w:type="dxa"/>
            <w:shd w:val="clear" w:color="auto" w:fill="auto"/>
            <w:vAlign w:val="center"/>
          </w:tcPr>
          <w:p w14:paraId="2ACDDED4">
            <w:pPr>
              <w:pStyle w:val="17"/>
              <w:keepNext w:val="0"/>
              <w:keepLines w:val="0"/>
              <w:widowControl/>
              <w:suppressLineNumbers w:val="0"/>
              <w:spacing w:before="0" w:beforeAutospacing="1" w:after="0" w:afterAutospacing="1"/>
              <w:ind w:left="0" w:right="0"/>
            </w:pPr>
            <w:r>
              <w:t>Selected Circuits</w:t>
            </w:r>
          </w:p>
        </w:tc>
        <w:tc>
          <w:tcPr>
            <w:tcW w:w="2051" w:type="dxa"/>
            <w:shd w:val="clear" w:color="auto" w:fill="auto"/>
            <w:vAlign w:val="center"/>
          </w:tcPr>
          <w:p w14:paraId="734A318B">
            <w:pPr>
              <w:pStyle w:val="17"/>
              <w:keepNext w:val="0"/>
              <w:keepLines w:val="0"/>
              <w:widowControl/>
              <w:suppressLineNumbers w:val="0"/>
              <w:spacing w:before="0" w:beforeAutospacing="1" w:after="0" w:afterAutospacing="1"/>
              <w:ind w:left="0" w:right="0"/>
            </w:pPr>
            <w:r>
              <w:t>No RCD protection</w:t>
            </w:r>
          </w:p>
        </w:tc>
        <w:tc>
          <w:tcPr>
            <w:tcW w:w="970" w:type="dxa"/>
            <w:shd w:val="clear" w:color="auto" w:fill="auto"/>
            <w:vAlign w:val="center"/>
          </w:tcPr>
          <w:p w14:paraId="52D7694C">
            <w:pPr>
              <w:pStyle w:val="17"/>
              <w:keepNext w:val="0"/>
              <w:keepLines w:val="0"/>
              <w:widowControl/>
              <w:suppressLineNumbers w:val="0"/>
              <w:spacing w:before="0" w:beforeAutospacing="1" w:after="0" w:afterAutospacing="1"/>
              <w:ind w:left="0" w:right="0"/>
            </w:pPr>
            <w:r>
              <w:t>Low</w:t>
            </w:r>
          </w:p>
        </w:tc>
        <w:tc>
          <w:tcPr>
            <w:tcW w:w="1958" w:type="dxa"/>
            <w:shd w:val="clear" w:color="auto" w:fill="auto"/>
            <w:vAlign w:val="center"/>
          </w:tcPr>
          <w:p w14:paraId="0F9982FA">
            <w:pPr>
              <w:pStyle w:val="17"/>
              <w:keepNext w:val="0"/>
              <w:keepLines w:val="0"/>
              <w:widowControl/>
              <w:suppressLineNumbers w:val="0"/>
              <w:spacing w:before="0" w:beforeAutospacing="1" w:after="0" w:afterAutospacing="1"/>
              <w:ind w:left="0" w:right="0"/>
            </w:pPr>
            <w:r>
              <w:t>Next renovation</w:t>
            </w:r>
          </w:p>
        </w:tc>
        <w:tc>
          <w:tcPr>
            <w:tcW w:w="2783" w:type="dxa"/>
            <w:shd w:val="clear" w:color="auto" w:fill="auto"/>
            <w:vAlign w:val="center"/>
          </w:tcPr>
          <w:p w14:paraId="558A0D19">
            <w:pPr>
              <w:pStyle w:val="17"/>
              <w:keepNext w:val="0"/>
              <w:keepLines w:val="0"/>
              <w:widowControl/>
              <w:suppressLineNumbers w:val="0"/>
              <w:spacing w:before="0" w:beforeAutospacing="1" w:after="0" w:afterAutospacing="1"/>
              <w:ind w:left="0" w:right="0"/>
            </w:pPr>
            <w:r>
              <w:t>$600 – $900</w:t>
            </w:r>
          </w:p>
        </w:tc>
      </w:tr>
    </w:tbl>
    <w:p w14:paraId="71CF64FC"/>
    <w:p w14:paraId="376E0BCC">
      <w:pPr>
        <w:pStyle w:val="48"/>
        <w:numPr>
          <w:ilvl w:val="0"/>
          <w:numId w:val="11"/>
        </w:numPr>
      </w:pPr>
      <w:r>
        <w:t>No immediate rectification required</w:t>
      </w:r>
    </w:p>
    <w:p w14:paraId="13C75393">
      <w:pPr>
        <w:pStyle w:val="48"/>
        <w:numPr>
          <w:ilvl w:val="0"/>
          <w:numId w:val="11"/>
        </w:numPr>
      </w:pPr>
      <w:r>
        <w:t>Monitor identified ageing components</w:t>
      </w:r>
    </w:p>
    <w:p w14:paraId="60DDE64C">
      <w:pPr>
        <w:pStyle w:val="48"/>
        <w:numPr>
          <w:ilvl w:val="0"/>
          <w:numId w:val="11"/>
        </w:numPr>
      </w:pPr>
      <w:r>
        <w:t>Reassess electrical condition periodically</w:t>
      </w:r>
    </w:p>
    <w:p w14:paraId="3BD8DEC8">
      <w:pPr>
        <w:pStyle w:val="50"/>
      </w:pPr>
    </w:p>
    <w:p w14:paraId="6A14B288">
      <w:pPr>
        <w:pStyle w:val="17"/>
        <w:keepNext w:val="0"/>
        <w:keepLines w:val="0"/>
        <w:widowControl/>
        <w:suppressLineNumbers w:val="0"/>
        <w:spacing w:before="0" w:beforeAutospacing="1" w:after="0" w:afterAutospacing="1"/>
        <w:ind w:left="0" w:right="0"/>
      </w:pPr>
      <w:r>
        <w:rPr>
          <w:b/>
          <w:bCs/>
        </w:rPr>
        <w:t>Important:</w:t>
      </w:r>
    </w:p>
    <w:p w14:paraId="3D5253B8">
      <w:pPr>
        <w:pStyle w:val="17"/>
        <w:keepNext w:val="0"/>
        <w:keepLines w:val="0"/>
        <w:widowControl/>
        <w:suppressLineNumbers w:val="0"/>
        <w:spacing w:before="0" w:beforeAutospacing="1" w:after="0" w:afterAutospacing="1"/>
        <w:ind w:left="0" w:right="0"/>
      </w:pPr>
      <w:r>
        <w:t xml:space="preserve">These figures are </w:t>
      </w:r>
      <w:r>
        <w:rPr>
          <w:rStyle w:val="49"/>
          <w:b/>
          <w:bCs/>
        </w:rPr>
        <w:t>indicative budgetary estimates only</w:t>
      </w:r>
      <w:r>
        <w:t xml:space="preserve"> and do not constitute quotations or fixed pricing.</w:t>
      </w:r>
    </w:p>
    <w:p w14:paraId="1D8386AC">
      <w:pPr>
        <w:pStyle w:val="17"/>
        <w:keepNext w:val="0"/>
        <w:keepLines w:val="0"/>
        <w:widowControl/>
        <w:suppressLineNumbers w:val="0"/>
        <w:spacing w:before="0" w:beforeAutospacing="1" w:after="0" w:afterAutospacing="1"/>
        <w:ind w:left="0" w:right="0"/>
      </w:pPr>
      <w:r>
        <w:t>They are provided to assist financial planning, not to prescribe scope or contractor selection.</w:t>
      </w:r>
    </w:p>
    <w:p w14:paraId="1A63F06E">
      <w:pPr>
        <w:pStyle w:val="50"/>
      </w:pPr>
    </w:p>
    <w:p w14:paraId="5CF11F7C">
      <w:pPr>
        <w:pStyle w:val="50"/>
      </w:pPr>
    </w:p>
    <w:p w14:paraId="3F21F7A1">
      <w:pPr>
        <w:pStyle w:val="50"/>
      </w:pPr>
    </w:p>
    <w:p w14:paraId="5F5FEF14">
      <w:pPr>
        <w:pStyle w:val="50"/>
      </w:pPr>
    </w:p>
    <w:p w14:paraId="00ED545D">
      <w:pPr>
        <w:rPr>
          <w:lang w:val="en-AU" w:eastAsia="zh-CN"/>
        </w:rPr>
      </w:pPr>
      <w:r>
        <w:rPr>
          <w:lang w:val="en-AU" w:eastAsia="zh-CN"/>
        </w:rPr>
        <w:br w:type="page"/>
      </w:r>
    </w:p>
    <w:p w14:paraId="1AA079DF">
      <w:pPr>
        <w:pStyle w:val="3"/>
        <w:jc w:val="center"/>
      </w:pPr>
      <w:r>
        <w:t>Next Steps &amp; Investor Options</w:t>
      </w:r>
    </w:p>
    <w:p w14:paraId="19701BA8">
      <w:pPr>
        <w:pStyle w:val="50"/>
      </w:pPr>
    </w:p>
    <w:p w14:paraId="1AB21339">
      <w:pPr>
        <w:pStyle w:val="50"/>
      </w:pPr>
    </w:p>
    <w:p w14:paraId="375265A8">
      <w:pPr>
        <w:pStyle w:val="50"/>
      </w:pPr>
    </w:p>
    <w:p w14:paraId="3A58CC60">
      <w:pPr>
        <w:pStyle w:val="50"/>
      </w:pPr>
    </w:p>
    <w:p w14:paraId="22D81E2B">
      <w:pPr>
        <w:pStyle w:val="5"/>
        <w:bidi w:val="0"/>
      </w:pPr>
      <w:r>
        <w:t>The Client may consider the following options:</w:t>
      </w:r>
    </w:p>
    <w:p w14:paraId="0F0A2E28">
      <w:pPr>
        <w:pStyle w:val="5"/>
        <w:numPr>
          <w:ilvl w:val="0"/>
          <w:numId w:val="11"/>
        </w:numPr>
        <w:bidi w:val="0"/>
        <w:ind w:left="720" w:leftChars="0" w:hanging="360" w:firstLineChars="0"/>
        <w:jc w:val="left"/>
        <w:rPr>
          <w:rFonts w:hint="default" w:ascii="Arial Italic" w:hAnsi="Arial Italic" w:cs="Arial Italic"/>
          <w:b w:val="0"/>
          <w:bCs w:val="0"/>
          <w:i/>
          <w:iCs/>
          <w:color w:val="auto"/>
        </w:rPr>
      </w:pPr>
      <w:r>
        <w:rPr>
          <w:rFonts w:hint="default" w:ascii="Arial Italic" w:hAnsi="Arial Italic" w:cs="Arial Italic"/>
          <w:b w:val="0"/>
          <w:bCs w:val="0"/>
          <w:i/>
          <w:iCs/>
          <w:color w:val="auto"/>
        </w:rPr>
        <w:t>Retain this report for reference and take no action at this time</w:t>
      </w:r>
    </w:p>
    <w:p w14:paraId="0E30CCE0">
      <w:pPr>
        <w:pStyle w:val="17"/>
        <w:keepNext w:val="0"/>
        <w:keepLines w:val="0"/>
        <w:widowControl/>
        <w:numPr>
          <w:ilvl w:val="0"/>
          <w:numId w:val="11"/>
        </w:numPr>
        <w:suppressLineNumbers w:val="0"/>
        <w:spacing w:before="0" w:beforeAutospacing="1" w:after="0" w:afterAutospacing="1"/>
        <w:ind w:left="720" w:leftChars="0" w:right="0" w:hanging="360" w:firstLineChars="0"/>
        <w:jc w:val="left"/>
        <w:rPr>
          <w:rFonts w:hint="default" w:ascii="Arial Italic" w:hAnsi="Arial Italic" w:cs="Arial Italic"/>
          <w:i/>
          <w:iCs/>
          <w:color w:val="000000" w:themeColor="text1"/>
          <w14:textFill>
            <w14:solidFill>
              <w14:schemeClr w14:val="tx1"/>
            </w14:solidFill>
          </w14:textFill>
        </w:rPr>
      </w:pPr>
      <w:r>
        <w:rPr>
          <w:rFonts w:hint="default" w:ascii="Arial Italic" w:hAnsi="Arial Italic" w:cs="Arial Italic"/>
          <w:i/>
          <w:iCs/>
          <w:color w:val="000000" w:themeColor="text1"/>
          <w14:textFill>
            <w14:solidFill>
              <w14:schemeClr w14:val="tx1"/>
            </w14:solidFill>
          </w14:textFill>
        </w:rPr>
        <w:t>Engage a licensed electrical contractor of choice for works, if desired</w:t>
      </w:r>
    </w:p>
    <w:p w14:paraId="0F41B033">
      <w:pPr>
        <w:pStyle w:val="17"/>
        <w:keepNext w:val="0"/>
        <w:keepLines w:val="0"/>
        <w:widowControl/>
        <w:numPr>
          <w:ilvl w:val="0"/>
          <w:numId w:val="11"/>
        </w:numPr>
        <w:suppressLineNumbers w:val="0"/>
        <w:spacing w:before="0" w:beforeAutospacing="1" w:after="0" w:afterAutospacing="1"/>
        <w:ind w:left="720" w:leftChars="0" w:right="0" w:hanging="360" w:firstLineChars="0"/>
        <w:jc w:val="left"/>
        <w:rPr>
          <w:rFonts w:hint="default" w:ascii="Arial Italic" w:hAnsi="Arial Italic" w:cs="Arial Italic"/>
          <w:i/>
          <w:iCs/>
          <w:color w:val="000000" w:themeColor="text1"/>
          <w14:textFill>
            <w14:solidFill>
              <w14:schemeClr w14:val="tx1"/>
            </w14:solidFill>
          </w14:textFill>
        </w:rPr>
      </w:pPr>
      <w:r>
        <w:rPr>
          <w:rFonts w:hint="default" w:ascii="Arial Italic" w:hAnsi="Arial Italic" w:cs="Arial Italic"/>
          <w:i/>
          <w:iCs/>
          <w:color w:val="000000" w:themeColor="text1"/>
          <w14:textFill>
            <w14:solidFill>
              <w14:schemeClr w14:val="tx1"/>
            </w14:solidFill>
          </w14:textFill>
        </w:rPr>
        <w:t>Integrate findings into future renovation or asset planning</w:t>
      </w:r>
    </w:p>
    <w:p w14:paraId="07E56D60">
      <w:pPr>
        <w:pStyle w:val="17"/>
        <w:keepNext w:val="0"/>
        <w:keepLines w:val="0"/>
        <w:widowControl/>
        <w:numPr>
          <w:ilvl w:val="0"/>
          <w:numId w:val="11"/>
        </w:numPr>
        <w:suppressLineNumbers w:val="0"/>
        <w:spacing w:before="0" w:beforeAutospacing="1" w:after="0" w:afterAutospacing="1"/>
        <w:ind w:left="720" w:leftChars="0" w:right="0" w:hanging="360" w:firstLineChars="0"/>
        <w:jc w:val="left"/>
        <w:rPr>
          <w:rFonts w:hint="default" w:ascii="Arial Italic" w:hAnsi="Arial Italic" w:cs="Arial Italic"/>
          <w:i/>
          <w:iCs/>
          <w:color w:val="000000" w:themeColor="text1"/>
          <w14:textFill>
            <w14:solidFill>
              <w14:schemeClr w14:val="tx1"/>
            </w14:solidFill>
          </w14:textFill>
        </w:rPr>
      </w:pPr>
      <w:r>
        <w:rPr>
          <w:rFonts w:hint="default" w:ascii="Arial Italic" w:hAnsi="Arial Italic" w:cs="Arial Italic"/>
          <w:i/>
          <w:iCs/>
          <w:color w:val="000000" w:themeColor="text1"/>
          <w14:textFill>
            <w14:solidFill>
              <w14:schemeClr w14:val="tx1"/>
            </w14:solidFill>
          </w14:textFill>
        </w:rPr>
        <w:t>Delegate coordination, quotation review, and audit oversight to a third-party adviso</w:t>
      </w:r>
    </w:p>
    <w:p w14:paraId="61922CE0">
      <w:pPr>
        <w:pStyle w:val="17"/>
        <w:keepNext w:val="0"/>
        <w:keepLines w:val="0"/>
        <w:widowControl/>
        <w:suppressLineNumbers w:val="0"/>
        <w:spacing w:before="0" w:beforeAutospacing="1" w:after="0" w:afterAutospacing="1"/>
        <w:ind w:left="0" w:right="0"/>
      </w:pPr>
      <w:r>
        <w:t>All decisions remain entirely at the Client’s discretion.</w:t>
      </w:r>
    </w:p>
    <w:p w14:paraId="49A7BA2E">
      <w:pPr>
        <w:pStyle w:val="50"/>
      </w:pPr>
    </w:p>
    <w:p w14:paraId="124BEA84">
      <w:pPr>
        <w:pStyle w:val="50"/>
      </w:pPr>
    </w:p>
    <w:p w14:paraId="4960216C">
      <w:pPr>
        <w:pStyle w:val="50"/>
      </w:pPr>
    </w:p>
    <w:p w14:paraId="79EB0000">
      <w:pPr>
        <w:pStyle w:val="50"/>
      </w:pPr>
    </w:p>
    <w:p w14:paraId="12E3B893">
      <w:pPr>
        <w:pStyle w:val="50"/>
      </w:pPr>
    </w:p>
    <w:p w14:paraId="4C9EA6B1">
      <w:pPr>
        <w:rPr>
          <w:lang w:val="en-AU" w:eastAsia="zh-CN"/>
        </w:rPr>
      </w:pPr>
      <w:r>
        <w:rPr>
          <w:lang w:val="en-AU" w:eastAsia="zh-CN"/>
        </w:rPr>
        <w:br w:type="page"/>
      </w:r>
    </w:p>
    <w:p w14:paraId="14661C79">
      <w:pPr>
        <w:pStyle w:val="3"/>
        <w:jc w:val="center"/>
      </w:pPr>
      <w:r>
        <w:t>Appendix – Test Data &amp; Technical Notes</w:t>
      </w:r>
    </w:p>
    <w:p w14:paraId="2C5EFEA9">
      <w:pPr>
        <w:pStyle w:val="50"/>
      </w:pPr>
    </w:p>
    <w:p w14:paraId="78A91FB6">
      <w:pPr>
        <w:pStyle w:val="50"/>
      </w:pPr>
    </w:p>
    <w:p w14:paraId="535C75C8">
      <w:pPr>
        <w:pStyle w:val="4"/>
      </w:pPr>
      <w:r>
        <w:t>Summary of Sample Test Results</w:t>
      </w:r>
    </w:p>
    <w:p w14:paraId="0E421144">
      <w:pPr>
        <w:pStyle w:val="4"/>
      </w:pPr>
    </w:p>
    <w:p w14:paraId="7F66C65B">
      <w:pPr>
        <w:pStyle w:val="4"/>
        <w:rPr>
          <w:color w:val="000000" w:themeColor="text1"/>
          <w:sz w:val="20"/>
          <w:szCs w:val="20"/>
          <w14:textFill>
            <w14:solidFill>
              <w14:schemeClr w14:val="tx1"/>
            </w14:solidFill>
          </w14:textFill>
        </w:rPr>
      </w:pPr>
      <w:r>
        <w:rPr>
          <w:color w:val="000000" w:themeColor="text1"/>
          <w:sz w:val="20"/>
          <w:szCs w:val="20"/>
          <w14:textFill>
            <w14:solidFill>
              <w14:schemeClr w14:val="tx1"/>
            </w14:solidFill>
          </w14:textFill>
        </w:rPr>
        <w:t>{{TEST_RESULTS_SUMMARY}}</w:t>
      </w:r>
    </w:p>
    <w:p w14:paraId="54D3AA31"/>
    <w:p w14:paraId="07F74B61">
      <w:pPr>
        <w:pStyle w:val="4"/>
      </w:pPr>
      <w:r>
        <w:t>Technical Note</w:t>
      </w:r>
    </w:p>
    <w:p w14:paraId="3513781E">
      <w:pPr>
        <w:pStyle w:val="50"/>
      </w:pPr>
    </w:p>
    <w:p w14:paraId="420CF4E5">
      <w:r>
        <w:t>{{TECHNICAL_NOTES}}</w:t>
      </w:r>
    </w:p>
    <w:p w14:paraId="05BB9472">
      <w:pPr>
        <w:pStyle w:val="52"/>
      </w:pPr>
    </w:p>
    <w:p w14:paraId="05766556">
      <w:pPr>
        <w:pStyle w:val="13"/>
        <w:numPr>
          <w:ilvl w:val="0"/>
          <w:numId w:val="0"/>
        </w:numPr>
        <w:rPr>
          <w:lang w:val="en-AU" w:eastAsia="zh-CN"/>
        </w:rPr>
      </w:pPr>
    </w:p>
    <w:p w14:paraId="6C76A1BD">
      <w:pPr>
        <w:pStyle w:val="13"/>
        <w:numPr>
          <w:ilvl w:val="0"/>
          <w:numId w:val="0"/>
        </w:numPr>
        <w:rPr>
          <w:lang w:val="en-AU" w:eastAsia="zh-CN"/>
        </w:rPr>
      </w:pPr>
    </w:p>
    <w:p w14:paraId="78B73EF2">
      <w:pPr>
        <w:pStyle w:val="13"/>
        <w:numPr>
          <w:ilvl w:val="0"/>
          <w:numId w:val="0"/>
        </w:numPr>
        <w:rPr>
          <w:lang w:val="en-AU" w:eastAsia="zh-CN"/>
        </w:rPr>
      </w:pPr>
    </w:p>
    <w:p w14:paraId="1CBDA934">
      <w:pPr>
        <w:pStyle w:val="13"/>
        <w:numPr>
          <w:ilvl w:val="0"/>
          <w:numId w:val="0"/>
        </w:numPr>
        <w:rPr>
          <w:lang w:val="en-AU" w:eastAsia="zh-CN"/>
        </w:rPr>
      </w:pPr>
    </w:p>
    <w:p w14:paraId="2E75CAB4">
      <w:pPr>
        <w:pStyle w:val="13"/>
        <w:numPr>
          <w:ilvl w:val="0"/>
          <w:numId w:val="0"/>
        </w:numPr>
        <w:rPr>
          <w:lang w:val="en-AU" w:eastAsia="zh-CN"/>
        </w:rPr>
      </w:pPr>
    </w:p>
    <w:p w14:paraId="06BF5E28">
      <w:pPr>
        <w:pStyle w:val="13"/>
        <w:numPr>
          <w:ilvl w:val="0"/>
          <w:numId w:val="0"/>
        </w:numPr>
        <w:rPr>
          <w:lang w:val="en-AU" w:eastAsia="zh-CN"/>
        </w:rPr>
      </w:pPr>
    </w:p>
    <w:p w14:paraId="3176BDC5">
      <w:r>
        <w:br w:type="page"/>
      </w:r>
    </w:p>
    <w:p w14:paraId="52C2E8F5">
      <w:pPr>
        <w:pStyle w:val="3"/>
        <w:jc w:val="center"/>
      </w:pPr>
      <w:r>
        <w:t>Terms &amp; Conditions of Assessment</w:t>
      </w:r>
    </w:p>
    <w:p w14:paraId="4F2F5007">
      <w:pPr>
        <w:pStyle w:val="52"/>
      </w:pPr>
      <w:r>
        <w:t>This Electrical Property Health Assessment is provided subject to the following terms and conditions:</w:t>
      </w:r>
    </w:p>
    <w:p w14:paraId="5FAA1142">
      <w:pPr>
        <w:keepNext w:val="0"/>
        <w:keepLines w:val="0"/>
        <w:pageBreakBefore w:val="0"/>
        <w:widowControl/>
        <w:numPr>
          <w:ilvl w:val="0"/>
          <w:numId w:val="12"/>
        </w:numPr>
        <w:suppressLineNumbers w:val="0"/>
        <w:pBdr>
          <w:top w:val="single" w:color="EBEBEB" w:sz="8" w:space="0"/>
          <w:left w:val="none" w:color="auto" w:sz="0" w:space="0"/>
          <w:bottom w:val="none" w:color="auto" w:sz="0" w:space="0"/>
          <w:right w:val="none" w:color="auto" w:sz="0" w:space="0"/>
        </w:pBdr>
        <w:shd w:val="clear" w:fill="FFFFFF"/>
        <w:tabs>
          <w:tab w:val="clear" w:pos="0"/>
        </w:tabs>
        <w:kinsoku/>
        <w:wordWrap/>
        <w:overflowPunct/>
        <w:topLinePunct w:val="0"/>
        <w:autoSpaceDE/>
        <w:autoSpaceDN/>
        <w:bidi w:val="0"/>
        <w:adjustRightInd/>
        <w:snapToGrid/>
        <w:spacing w:before="181" w:beforeLines="50" w:beforeAutospacing="0" w:after="181" w:afterLines="50" w:afterAutospacing="0" w:line="240" w:lineRule="auto"/>
        <w:ind w:left="600" w:leftChars="0" w:right="0" w:rightChars="0" w:hanging="360" w:firstLineChars="0"/>
        <w:jc w:val="left"/>
        <w:textAlignment w:val="auto"/>
        <w:rPr>
          <w:rFonts w:hint="default" w:ascii="sans-serif" w:hAnsi="sans-serif" w:eastAsia="sans-serif"/>
          <w:b/>
          <w:bCs/>
          <w:i w:val="0"/>
          <w:iCs w:val="0"/>
          <w:caps w:val="0"/>
          <w:color w:val="1A1C1E"/>
          <w:spacing w:val="0"/>
          <w:sz w:val="18"/>
          <w:szCs w:val="18"/>
          <w:shd w:val="clear" w:fill="FFFFFF"/>
        </w:rPr>
      </w:pPr>
      <w:r>
        <w:rPr>
          <w:rFonts w:hint="default" w:ascii="sans-serif" w:hAnsi="sans-serif" w:eastAsia="sans-serif"/>
          <w:b/>
          <w:bCs/>
          <w:i w:val="0"/>
          <w:iCs w:val="0"/>
          <w:caps w:val="0"/>
          <w:color w:val="1A1C1E"/>
          <w:spacing w:val="0"/>
          <w:sz w:val="18"/>
          <w:szCs w:val="18"/>
          <w:shd w:val="clear" w:fill="FFFFFF"/>
        </w:rPr>
        <w:t>Australian Consumer Law (ACL) Acknowledgement</w:t>
      </w:r>
    </w:p>
    <w:p w14:paraId="4875AC1C">
      <w:pPr>
        <w:keepNext w:val="0"/>
        <w:keepLines w:val="0"/>
        <w:pageBreakBefore w:val="0"/>
        <w:widowControl/>
        <w:numPr>
          <w:ilvl w:val="0"/>
          <w:numId w:val="0"/>
        </w:numPr>
        <w:suppressLineNumbers w:val="0"/>
        <w:pBdr>
          <w:top w:val="single" w:color="EBEBEB" w:sz="8"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ind w:left="240" w:leftChars="0" w:right="0" w:rightChars="0"/>
        <w:textAlignment w:val="auto"/>
        <w:rPr>
          <w:rFonts w:hint="default" w:ascii="sans-serif" w:hAnsi="sans-serif" w:eastAsia="sans-serif"/>
          <w:i w:val="0"/>
          <w:iCs w:val="0"/>
          <w:caps w:val="0"/>
          <w:color w:val="1A1C1E"/>
          <w:spacing w:val="0"/>
          <w:sz w:val="18"/>
          <w:szCs w:val="18"/>
          <w:shd w:val="clear" w:fill="FFFFFF"/>
        </w:rPr>
      </w:pPr>
      <w:r>
        <w:rPr>
          <w:rFonts w:hint="default" w:ascii="sans-serif" w:hAnsi="sans-serif" w:eastAsia="sans-serif"/>
          <w:i w:val="0"/>
          <w:iCs w:val="0"/>
          <w:caps w:val="0"/>
          <w:color w:val="1A1C1E"/>
          <w:spacing w:val="0"/>
          <w:sz w:val="18"/>
          <w:szCs w:val="18"/>
          <w:shd w:val="clear" w:fill="FFFFFF"/>
        </w:rPr>
        <w:t>Our services come with guarantees that cannot be excluded under the Australian Consumer Law.</w:t>
      </w:r>
    </w:p>
    <w:p w14:paraId="02CD7774">
      <w:pPr>
        <w:keepNext w:val="0"/>
        <w:keepLines w:val="0"/>
        <w:pageBreakBefore w:val="0"/>
        <w:widowControl/>
        <w:numPr>
          <w:ilvl w:val="0"/>
          <w:numId w:val="0"/>
        </w:numPr>
        <w:suppressLineNumbers w:val="0"/>
        <w:pBdr>
          <w:top w:val="single" w:color="EBEBEB" w:sz="8"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ind w:left="240" w:leftChars="0" w:right="0" w:rightChars="0"/>
        <w:textAlignment w:val="auto"/>
        <w:rPr>
          <w:rFonts w:hint="default" w:ascii="sans-serif" w:hAnsi="sans-serif" w:eastAsia="sans-serif"/>
          <w:i w:val="0"/>
          <w:iCs w:val="0"/>
          <w:caps w:val="0"/>
          <w:color w:val="1A1C1E"/>
          <w:spacing w:val="0"/>
          <w:sz w:val="18"/>
          <w:szCs w:val="18"/>
          <w:shd w:val="clear" w:fill="FFFFFF"/>
        </w:rPr>
      </w:pPr>
      <w:r>
        <w:rPr>
          <w:rFonts w:hint="default" w:ascii="sans-serif" w:hAnsi="sans-serif" w:eastAsia="sans-serif"/>
          <w:i w:val="0"/>
          <w:iCs w:val="0"/>
          <w:caps w:val="0"/>
          <w:color w:val="1A1C1E"/>
          <w:spacing w:val="0"/>
          <w:sz w:val="18"/>
          <w:szCs w:val="18"/>
          <w:shd w:val="clear" w:fill="FFFFFF"/>
        </w:rPr>
        <w:t>Nothing in this Report or these Terms purports to modify, exclude, or limit any statutory consumer guarantees where such exclusion is prohibited by law.</w:t>
      </w:r>
    </w:p>
    <w:p w14:paraId="58D76510">
      <w:pPr>
        <w:keepNext w:val="0"/>
        <w:keepLines w:val="0"/>
        <w:pageBreakBefore w:val="0"/>
        <w:widowControl/>
        <w:numPr>
          <w:ilvl w:val="0"/>
          <w:numId w:val="12"/>
        </w:numPr>
        <w:suppressLineNumbers w:val="0"/>
        <w:pBdr>
          <w:top w:val="single" w:color="EBEBEB" w:sz="8" w:space="0"/>
          <w:left w:val="none" w:color="auto" w:sz="0" w:space="0"/>
          <w:bottom w:val="none" w:color="auto" w:sz="0" w:space="0"/>
          <w:right w:val="none" w:color="auto" w:sz="0" w:space="0"/>
        </w:pBdr>
        <w:shd w:val="clear" w:fill="FFFFFF"/>
        <w:tabs>
          <w:tab w:val="clear" w:pos="0"/>
        </w:tabs>
        <w:kinsoku/>
        <w:wordWrap/>
        <w:overflowPunct/>
        <w:topLinePunct w:val="0"/>
        <w:autoSpaceDE/>
        <w:autoSpaceDN/>
        <w:bidi w:val="0"/>
        <w:adjustRightInd/>
        <w:snapToGrid/>
        <w:spacing w:before="181" w:beforeLines="50" w:beforeAutospacing="0" w:after="181" w:afterLines="50" w:afterAutospacing="0" w:line="240" w:lineRule="auto"/>
        <w:ind w:left="425" w:leftChars="0" w:right="0" w:rightChars="0" w:hanging="425" w:firstLineChars="0"/>
        <w:jc w:val="both"/>
        <w:textAlignment w:val="auto"/>
        <w:rPr>
          <w:rFonts w:hint="default" w:ascii="sans-serif" w:hAnsi="sans-serif" w:eastAsia="sans-serif"/>
          <w:b/>
          <w:bCs/>
          <w:i w:val="0"/>
          <w:iCs w:val="0"/>
          <w:caps w:val="0"/>
          <w:color w:val="1A1C1E"/>
          <w:spacing w:val="0"/>
          <w:sz w:val="18"/>
          <w:szCs w:val="18"/>
          <w:shd w:val="clear" w:fill="FFFFFF"/>
        </w:rPr>
      </w:pPr>
      <w:r>
        <w:rPr>
          <w:rFonts w:hint="default" w:ascii="sans-serif" w:hAnsi="sans-serif" w:eastAsia="sans-serif"/>
          <w:b/>
          <w:bCs/>
          <w:i w:val="0"/>
          <w:iCs w:val="0"/>
          <w:caps w:val="0"/>
          <w:color w:val="1A1C1E"/>
          <w:spacing w:val="0"/>
          <w:sz w:val="18"/>
          <w:szCs w:val="18"/>
          <w:shd w:val="clear" w:fill="FFFFFF"/>
        </w:rPr>
        <w:t>Scope of Professional Opinion</w:t>
      </w:r>
    </w:p>
    <w:p w14:paraId="0EB78582">
      <w:pPr>
        <w:keepNext w:val="0"/>
        <w:keepLines w:val="0"/>
        <w:pageBreakBefore w:val="0"/>
        <w:widowControl/>
        <w:numPr>
          <w:ilvl w:val="0"/>
          <w:numId w:val="0"/>
        </w:numPr>
        <w:suppressLineNumbers w:val="0"/>
        <w:pBdr>
          <w:top w:val="single" w:color="EBEBEB" w:sz="8"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ind w:left="240" w:leftChars="0" w:right="0" w:rightChars="0"/>
        <w:textAlignment w:val="auto"/>
        <w:rPr>
          <w:rFonts w:hint="default" w:ascii="sans-serif" w:hAnsi="sans-serif" w:eastAsia="sans-serif"/>
          <w:i w:val="0"/>
          <w:iCs w:val="0"/>
          <w:caps w:val="0"/>
          <w:color w:val="1A1C1E"/>
          <w:spacing w:val="0"/>
          <w:sz w:val="18"/>
          <w:szCs w:val="18"/>
          <w:shd w:val="clear" w:fill="FFFFFF"/>
        </w:rPr>
      </w:pPr>
      <w:r>
        <w:rPr>
          <w:rFonts w:hint="default" w:ascii="sans-serif" w:hAnsi="sans-serif" w:eastAsia="sans-serif"/>
          <w:i w:val="0"/>
          <w:iCs w:val="0"/>
          <w:caps w:val="0"/>
          <w:color w:val="1A1C1E"/>
          <w:spacing w:val="0"/>
          <w:sz w:val="18"/>
          <w:szCs w:val="18"/>
          <w:shd w:val="clear" w:fill="FFFFFF"/>
        </w:rPr>
        <w:t>This Assessment is a point-in-time, non-destructive, visual and functional review of accessible electrical components only.It is non-intrusive and non-exhaustive in nature and does not constitute a structural audit, engineering certification, or compliance inspection.No guarantee is provided that all defects, latent risks, or future failures have been identified.</w:t>
      </w:r>
    </w:p>
    <w:p w14:paraId="6B36AAB0">
      <w:pPr>
        <w:keepNext w:val="0"/>
        <w:keepLines w:val="0"/>
        <w:pageBreakBefore w:val="0"/>
        <w:widowControl/>
        <w:numPr>
          <w:ilvl w:val="0"/>
          <w:numId w:val="12"/>
        </w:numPr>
        <w:suppressLineNumbers w:val="0"/>
        <w:pBdr>
          <w:top w:val="single" w:color="EBEBEB" w:sz="8" w:space="0"/>
          <w:left w:val="none" w:color="auto" w:sz="0" w:space="0"/>
          <w:bottom w:val="none" w:color="auto" w:sz="0" w:space="0"/>
          <w:right w:val="none" w:color="auto" w:sz="0" w:space="0"/>
        </w:pBdr>
        <w:shd w:val="clear" w:fill="FFFFFF"/>
        <w:tabs>
          <w:tab w:val="clear" w:pos="0"/>
        </w:tabs>
        <w:kinsoku/>
        <w:wordWrap/>
        <w:overflowPunct/>
        <w:topLinePunct w:val="0"/>
        <w:autoSpaceDE/>
        <w:autoSpaceDN/>
        <w:bidi w:val="0"/>
        <w:adjustRightInd/>
        <w:snapToGrid/>
        <w:spacing w:before="181" w:beforeLines="50" w:beforeAutospacing="0" w:after="181" w:afterLines="50" w:afterAutospacing="0" w:line="240" w:lineRule="auto"/>
        <w:ind w:left="425" w:leftChars="0" w:right="0" w:rightChars="0" w:hanging="425" w:firstLineChars="0"/>
        <w:textAlignment w:val="auto"/>
        <w:rPr>
          <w:rFonts w:hint="default" w:ascii="sans-serif" w:hAnsi="sans-serif" w:eastAsia="sans-serif"/>
          <w:b/>
          <w:bCs/>
          <w:i w:val="0"/>
          <w:iCs w:val="0"/>
          <w:caps w:val="0"/>
          <w:color w:val="1A1C1E"/>
          <w:spacing w:val="0"/>
          <w:sz w:val="18"/>
          <w:szCs w:val="18"/>
          <w:shd w:val="clear" w:fill="FFFFFF"/>
        </w:rPr>
      </w:pPr>
      <w:r>
        <w:rPr>
          <w:rFonts w:hint="default" w:ascii="sans-serif" w:hAnsi="sans-serif" w:eastAsia="sans-serif"/>
          <w:b/>
          <w:bCs/>
          <w:i w:val="0"/>
          <w:iCs w:val="0"/>
          <w:caps w:val="0"/>
          <w:color w:val="1A1C1E"/>
          <w:spacing w:val="0"/>
          <w:sz w:val="18"/>
          <w:szCs w:val="18"/>
          <w:shd w:val="clear" w:fill="FFFFFF"/>
        </w:rPr>
        <w:t>Exclusive Reliance &amp; Confidentiality</w:t>
      </w:r>
    </w:p>
    <w:p w14:paraId="03E5B092">
      <w:pPr>
        <w:keepNext w:val="0"/>
        <w:keepLines w:val="0"/>
        <w:pageBreakBefore w:val="0"/>
        <w:widowControl/>
        <w:numPr>
          <w:ilvl w:val="0"/>
          <w:numId w:val="0"/>
        </w:numPr>
        <w:suppressLineNumbers w:val="0"/>
        <w:pBdr>
          <w:top w:val="single" w:color="EBEBEB" w:sz="8"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ind w:left="240" w:leftChars="0" w:right="0" w:rightChars="0"/>
        <w:textAlignment w:val="auto"/>
        <w:rPr>
          <w:rFonts w:hint="default" w:ascii="sans-serif" w:hAnsi="sans-serif" w:eastAsia="sans-serif"/>
          <w:i w:val="0"/>
          <w:iCs w:val="0"/>
          <w:caps w:val="0"/>
          <w:color w:val="1A1C1E"/>
          <w:spacing w:val="0"/>
          <w:sz w:val="18"/>
          <w:szCs w:val="18"/>
          <w:shd w:val="clear" w:fill="FFFFFF"/>
        </w:rPr>
      </w:pPr>
      <w:r>
        <w:rPr>
          <w:rFonts w:hint="default" w:ascii="sans-serif" w:hAnsi="sans-serif" w:eastAsia="sans-serif"/>
          <w:i w:val="0"/>
          <w:iCs w:val="0"/>
          <w:caps w:val="0"/>
          <w:color w:val="1A1C1E"/>
          <w:spacing w:val="0"/>
          <w:sz w:val="18"/>
          <w:szCs w:val="18"/>
          <w:shd w:val="clear" w:fill="FFFFFF"/>
        </w:rPr>
        <w:t>This Report has been prepared solely for the use of the Client named on Page 1 for the purpose of informed asset and risk management.</w:t>
      </w:r>
    </w:p>
    <w:p w14:paraId="579C9DDE">
      <w:pPr>
        <w:keepNext w:val="0"/>
        <w:keepLines w:val="0"/>
        <w:pageBreakBefore w:val="0"/>
        <w:widowControl/>
        <w:numPr>
          <w:ilvl w:val="0"/>
          <w:numId w:val="0"/>
        </w:numPr>
        <w:suppressLineNumbers w:val="0"/>
        <w:pBdr>
          <w:top w:val="single" w:color="EBEBEB" w:sz="8"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ind w:left="240" w:leftChars="0" w:right="0" w:rightChars="0"/>
        <w:textAlignment w:val="auto"/>
        <w:rPr>
          <w:rFonts w:hint="default" w:ascii="sans-serif" w:hAnsi="sans-serif" w:eastAsia="sans-serif"/>
          <w:i w:val="0"/>
          <w:iCs w:val="0"/>
          <w:caps w:val="0"/>
          <w:color w:val="1A1C1E"/>
          <w:spacing w:val="0"/>
          <w:sz w:val="18"/>
          <w:szCs w:val="18"/>
          <w:shd w:val="clear" w:fill="FFFFFF"/>
        </w:rPr>
      </w:pPr>
      <w:r>
        <w:rPr>
          <w:rFonts w:hint="default" w:ascii="sans-serif" w:hAnsi="sans-serif" w:eastAsia="sans-serif"/>
          <w:i w:val="0"/>
          <w:iCs w:val="0"/>
          <w:caps w:val="0"/>
          <w:color w:val="1A1C1E"/>
          <w:spacing w:val="0"/>
          <w:sz w:val="18"/>
          <w:szCs w:val="18"/>
          <w:shd w:val="clear" w:fill="FFFFFF"/>
        </w:rPr>
        <w:t>No third party (including but not limited to purchasers, insurers, or financiers) is entitled to rely on this Report without the express written consent of Better Home Technology Pty Ltd.</w:t>
      </w:r>
    </w:p>
    <w:p w14:paraId="0244CE00">
      <w:pPr>
        <w:keepNext w:val="0"/>
        <w:keepLines w:val="0"/>
        <w:pageBreakBefore w:val="0"/>
        <w:widowControl/>
        <w:numPr>
          <w:ilvl w:val="0"/>
          <w:numId w:val="0"/>
        </w:numPr>
        <w:suppressLineNumbers w:val="0"/>
        <w:pBdr>
          <w:top w:val="single" w:color="EBEBEB" w:sz="8"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ind w:left="240" w:leftChars="0" w:right="0" w:rightChars="0"/>
        <w:textAlignment w:val="auto"/>
        <w:rPr>
          <w:rFonts w:hint="default" w:ascii="sans-serif" w:hAnsi="sans-serif" w:eastAsia="sans-serif"/>
          <w:i w:val="0"/>
          <w:iCs w:val="0"/>
          <w:caps w:val="0"/>
          <w:color w:val="1A1C1E"/>
          <w:spacing w:val="0"/>
          <w:sz w:val="18"/>
          <w:szCs w:val="18"/>
          <w:shd w:val="clear" w:fill="FFFFFF"/>
        </w:rPr>
      </w:pPr>
      <w:r>
        <w:rPr>
          <w:rFonts w:hint="default" w:ascii="sans-serif" w:hAnsi="sans-serif" w:eastAsia="sans-serif"/>
          <w:i w:val="0"/>
          <w:iCs w:val="0"/>
          <w:caps w:val="0"/>
          <w:color w:val="1A1C1E"/>
          <w:spacing w:val="0"/>
          <w:sz w:val="18"/>
          <w:szCs w:val="18"/>
          <w:shd w:val="clear" w:fill="FFFFFF"/>
        </w:rPr>
        <w:t>This Report may not be assigned, transferred, or relied upon by any other party.</w:t>
      </w:r>
    </w:p>
    <w:p w14:paraId="3BB7C0B8">
      <w:pPr>
        <w:keepNext w:val="0"/>
        <w:keepLines w:val="0"/>
        <w:pageBreakBefore w:val="0"/>
        <w:widowControl/>
        <w:numPr>
          <w:ilvl w:val="0"/>
          <w:numId w:val="12"/>
        </w:numPr>
        <w:suppressLineNumbers w:val="0"/>
        <w:pBdr>
          <w:top w:val="single" w:color="EBEBEB" w:sz="8" w:space="0"/>
          <w:left w:val="none" w:color="auto" w:sz="0" w:space="0"/>
          <w:bottom w:val="none" w:color="auto" w:sz="0" w:space="0"/>
          <w:right w:val="none" w:color="auto" w:sz="0" w:space="0"/>
        </w:pBdr>
        <w:shd w:val="clear" w:fill="FFFFFF"/>
        <w:tabs>
          <w:tab w:val="clear" w:pos="0"/>
        </w:tabs>
        <w:kinsoku/>
        <w:wordWrap/>
        <w:overflowPunct/>
        <w:topLinePunct w:val="0"/>
        <w:autoSpaceDE/>
        <w:autoSpaceDN/>
        <w:bidi w:val="0"/>
        <w:adjustRightInd/>
        <w:snapToGrid/>
        <w:spacing w:before="181" w:beforeLines="50" w:beforeAutospacing="0" w:after="181" w:afterLines="50" w:afterAutospacing="0" w:line="240" w:lineRule="auto"/>
        <w:ind w:left="425" w:leftChars="0" w:right="0" w:rightChars="0" w:hanging="425" w:firstLineChars="0"/>
        <w:textAlignment w:val="auto"/>
        <w:rPr>
          <w:rFonts w:hint="default" w:ascii="sans-serif" w:hAnsi="sans-serif" w:eastAsia="sans-serif"/>
          <w:b/>
          <w:bCs/>
          <w:i w:val="0"/>
          <w:iCs w:val="0"/>
          <w:caps w:val="0"/>
          <w:color w:val="1A1C1E"/>
          <w:spacing w:val="0"/>
          <w:sz w:val="18"/>
          <w:szCs w:val="18"/>
          <w:shd w:val="clear" w:fill="FFFFFF"/>
        </w:rPr>
      </w:pPr>
      <w:r>
        <w:rPr>
          <w:rFonts w:hint="default" w:ascii="sans-serif" w:hAnsi="sans-serif" w:eastAsia="sans-serif"/>
          <w:b/>
          <w:bCs/>
          <w:i w:val="0"/>
          <w:iCs w:val="0"/>
          <w:caps w:val="0"/>
          <w:color w:val="1A1C1E"/>
          <w:spacing w:val="0"/>
          <w:sz w:val="18"/>
          <w:szCs w:val="18"/>
          <w:shd w:val="clear" w:fill="FFFFFF"/>
        </w:rPr>
        <w:t>Limitation of Liability &amp; Exclusion of Consequential Loss</w:t>
      </w:r>
    </w:p>
    <w:p w14:paraId="44024A69">
      <w:pPr>
        <w:keepNext w:val="0"/>
        <w:keepLines w:val="0"/>
        <w:pageBreakBefore w:val="0"/>
        <w:widowControl/>
        <w:numPr>
          <w:ilvl w:val="0"/>
          <w:numId w:val="0"/>
        </w:numPr>
        <w:suppressLineNumbers w:val="0"/>
        <w:pBdr>
          <w:top w:val="single" w:color="EBEBEB" w:sz="8"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ind w:left="240" w:leftChars="0" w:right="0" w:rightChars="0"/>
        <w:textAlignment w:val="auto"/>
        <w:rPr>
          <w:rFonts w:hint="default" w:ascii="sans-serif" w:hAnsi="sans-serif" w:eastAsia="sans-serif"/>
          <w:i w:val="0"/>
          <w:iCs w:val="0"/>
          <w:caps w:val="0"/>
          <w:color w:val="1A1C1E"/>
          <w:spacing w:val="0"/>
          <w:sz w:val="18"/>
          <w:szCs w:val="18"/>
          <w:shd w:val="clear" w:fill="FFFFFF"/>
        </w:rPr>
      </w:pPr>
      <w:r>
        <w:rPr>
          <w:rFonts w:hint="default" w:ascii="sans-serif" w:hAnsi="sans-serif" w:eastAsia="sans-serif"/>
          <w:i w:val="0"/>
          <w:iCs w:val="0"/>
          <w:caps w:val="0"/>
          <w:color w:val="1A1C1E"/>
          <w:spacing w:val="0"/>
          <w:sz w:val="18"/>
          <w:szCs w:val="18"/>
          <w:shd w:val="clear" w:fill="FFFFFF"/>
        </w:rPr>
        <w:t>To the maximum extent permitted by law, Better Home Technology Pty Ltd excludes all liability for any indirect or consequential loss arising from the use of this Report, including but not limited to loss of rental income, business interruption, data loss, or claims arising from property downtime or alleged diminution of asset value.</w:t>
      </w:r>
    </w:p>
    <w:p w14:paraId="7A764FB4">
      <w:pPr>
        <w:keepNext w:val="0"/>
        <w:keepLines w:val="0"/>
        <w:pageBreakBefore w:val="0"/>
        <w:widowControl/>
        <w:numPr>
          <w:ilvl w:val="0"/>
          <w:numId w:val="12"/>
        </w:numPr>
        <w:suppressLineNumbers w:val="0"/>
        <w:pBdr>
          <w:top w:val="single" w:color="EBEBEB" w:sz="8" w:space="0"/>
          <w:left w:val="none" w:color="auto" w:sz="0" w:space="0"/>
          <w:bottom w:val="none" w:color="auto" w:sz="0" w:space="0"/>
          <w:right w:val="none" w:color="auto" w:sz="0" w:space="0"/>
        </w:pBdr>
        <w:shd w:val="clear" w:fill="FFFFFF"/>
        <w:tabs>
          <w:tab w:val="clear" w:pos="0"/>
        </w:tabs>
        <w:kinsoku/>
        <w:wordWrap/>
        <w:overflowPunct/>
        <w:topLinePunct w:val="0"/>
        <w:autoSpaceDE/>
        <w:autoSpaceDN/>
        <w:bidi w:val="0"/>
        <w:adjustRightInd/>
        <w:snapToGrid/>
        <w:spacing w:before="181" w:beforeLines="50" w:beforeAutospacing="0" w:after="181" w:afterLines="50" w:afterAutospacing="0" w:line="240" w:lineRule="auto"/>
        <w:ind w:left="425" w:leftChars="0" w:right="0" w:rightChars="0" w:hanging="425" w:firstLineChars="0"/>
        <w:jc w:val="left"/>
        <w:textAlignment w:val="auto"/>
        <w:rPr>
          <w:rFonts w:hint="default" w:ascii="sans-serif" w:hAnsi="sans-serif" w:eastAsia="sans-serif"/>
          <w:b/>
          <w:bCs/>
          <w:i w:val="0"/>
          <w:iCs w:val="0"/>
          <w:caps w:val="0"/>
          <w:color w:val="1A1C1E"/>
          <w:spacing w:val="0"/>
          <w:sz w:val="18"/>
          <w:szCs w:val="18"/>
          <w:shd w:val="clear" w:fill="FFFFFF"/>
        </w:rPr>
      </w:pPr>
      <w:r>
        <w:rPr>
          <w:rFonts w:hint="default" w:ascii="sans-serif" w:hAnsi="sans-serif" w:eastAsia="sans-serif"/>
          <w:b/>
          <w:bCs/>
          <w:i w:val="0"/>
          <w:iCs w:val="0"/>
          <w:caps w:val="0"/>
          <w:color w:val="1A1C1E"/>
          <w:spacing w:val="0"/>
          <w:sz w:val="18"/>
          <w:szCs w:val="18"/>
          <w:shd w:val="clear" w:fill="FFFFFF"/>
        </w:rPr>
        <w:t>Hazardous Materials (Including Asbestos)</w:t>
      </w:r>
    </w:p>
    <w:p w14:paraId="12414364">
      <w:pPr>
        <w:keepNext w:val="0"/>
        <w:keepLines w:val="0"/>
        <w:pageBreakBefore w:val="0"/>
        <w:widowControl/>
        <w:numPr>
          <w:ilvl w:val="0"/>
          <w:numId w:val="0"/>
        </w:numPr>
        <w:suppressLineNumbers w:val="0"/>
        <w:pBdr>
          <w:top w:val="single" w:color="EBEBEB" w:sz="8"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ind w:left="240" w:leftChars="0" w:right="0" w:rightChars="0"/>
        <w:textAlignment w:val="auto"/>
        <w:rPr>
          <w:rFonts w:hint="default" w:ascii="sans-serif" w:hAnsi="sans-serif" w:eastAsia="sans-serif"/>
          <w:i w:val="0"/>
          <w:iCs w:val="0"/>
          <w:caps w:val="0"/>
          <w:color w:val="1A1C1E"/>
          <w:spacing w:val="0"/>
          <w:sz w:val="18"/>
          <w:szCs w:val="18"/>
          <w:shd w:val="clear" w:fill="FFFFFF"/>
        </w:rPr>
      </w:pPr>
      <w:r>
        <w:rPr>
          <w:rFonts w:hint="default" w:ascii="sans-serif" w:hAnsi="sans-serif" w:eastAsia="sans-serif"/>
          <w:i w:val="0"/>
          <w:iCs w:val="0"/>
          <w:caps w:val="0"/>
          <w:color w:val="1A1C1E"/>
          <w:spacing w:val="0"/>
          <w:sz w:val="18"/>
          <w:szCs w:val="18"/>
          <w:shd w:val="clear" w:fill="FFFFFF"/>
        </w:rPr>
        <w:t>Our technicians are not licensed asbestos assessors and no testing for hazardous materials has been undertaken.</w:t>
      </w:r>
    </w:p>
    <w:p w14:paraId="5C745452">
      <w:pPr>
        <w:keepNext w:val="0"/>
        <w:keepLines w:val="0"/>
        <w:pageBreakBefore w:val="0"/>
        <w:widowControl/>
        <w:numPr>
          <w:ilvl w:val="0"/>
          <w:numId w:val="0"/>
        </w:numPr>
        <w:suppressLineNumbers w:val="0"/>
        <w:pBdr>
          <w:top w:val="single" w:color="EBEBEB" w:sz="8"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ind w:left="240" w:leftChars="0" w:right="0" w:rightChars="0"/>
        <w:textAlignment w:val="auto"/>
        <w:rPr>
          <w:rFonts w:hint="default" w:ascii="sans-serif" w:hAnsi="sans-serif" w:eastAsia="sans-serif"/>
          <w:i w:val="0"/>
          <w:iCs w:val="0"/>
          <w:caps w:val="0"/>
          <w:color w:val="1A1C1E"/>
          <w:spacing w:val="0"/>
          <w:sz w:val="18"/>
          <w:szCs w:val="18"/>
          <w:shd w:val="clear" w:fill="FFFFFF"/>
        </w:rPr>
      </w:pPr>
      <w:r>
        <w:rPr>
          <w:rFonts w:hint="default" w:ascii="sans-serif" w:hAnsi="sans-serif" w:eastAsia="sans-serif"/>
          <w:i w:val="0"/>
          <w:iCs w:val="0"/>
          <w:caps w:val="0"/>
          <w:color w:val="1A1C1E"/>
          <w:spacing w:val="0"/>
          <w:sz w:val="18"/>
          <w:szCs w:val="18"/>
          <w:shd w:val="clear" w:fill="FFFFFF"/>
        </w:rPr>
        <w:t>Where materials suspected to contain asbestos are observed, they are treated as such and no intrusive inspection is performed.</w:t>
      </w:r>
    </w:p>
    <w:p w14:paraId="1CE0D144">
      <w:pPr>
        <w:keepNext w:val="0"/>
        <w:keepLines w:val="0"/>
        <w:pageBreakBefore w:val="0"/>
        <w:widowControl/>
        <w:numPr>
          <w:ilvl w:val="0"/>
          <w:numId w:val="12"/>
        </w:numPr>
        <w:suppressLineNumbers w:val="0"/>
        <w:pBdr>
          <w:top w:val="single" w:color="EBEBEB" w:sz="8" w:space="0"/>
          <w:left w:val="none" w:color="auto" w:sz="0" w:space="0"/>
          <w:bottom w:val="none" w:color="auto" w:sz="0" w:space="0"/>
          <w:right w:val="none" w:color="auto" w:sz="0" w:space="0"/>
        </w:pBdr>
        <w:shd w:val="clear" w:fill="FFFFFF"/>
        <w:tabs>
          <w:tab w:val="clear" w:pos="0"/>
        </w:tabs>
        <w:kinsoku/>
        <w:wordWrap/>
        <w:overflowPunct/>
        <w:topLinePunct w:val="0"/>
        <w:autoSpaceDE/>
        <w:autoSpaceDN/>
        <w:bidi w:val="0"/>
        <w:adjustRightInd/>
        <w:snapToGrid/>
        <w:spacing w:before="181" w:beforeLines="50" w:beforeAutospacing="0" w:after="181" w:afterLines="50" w:afterAutospacing="0" w:line="240" w:lineRule="auto"/>
        <w:ind w:left="425" w:leftChars="0" w:right="0" w:rightChars="0" w:hanging="425" w:firstLineChars="0"/>
        <w:textAlignment w:val="auto"/>
        <w:rPr>
          <w:rFonts w:hint="default" w:ascii="sans-serif" w:hAnsi="sans-serif" w:eastAsia="sans-serif"/>
          <w:b/>
          <w:bCs/>
          <w:i w:val="0"/>
          <w:iCs w:val="0"/>
          <w:caps w:val="0"/>
          <w:color w:val="1A1C1E"/>
          <w:spacing w:val="0"/>
          <w:sz w:val="18"/>
          <w:szCs w:val="18"/>
          <w:shd w:val="clear" w:fill="FFFFFF"/>
        </w:rPr>
      </w:pPr>
      <w:r>
        <w:rPr>
          <w:rFonts w:hint="default" w:ascii="sans-serif" w:hAnsi="sans-serif" w:eastAsia="sans-serif"/>
          <w:b/>
          <w:bCs/>
          <w:i w:val="0"/>
          <w:iCs w:val="0"/>
          <w:caps w:val="0"/>
          <w:color w:val="1A1C1E"/>
          <w:spacing w:val="0"/>
          <w:sz w:val="18"/>
          <w:szCs w:val="18"/>
          <w:shd w:val="clear" w:fill="FFFFFF"/>
        </w:rPr>
        <w:t>Statutory Compliance Disclaimer</w:t>
      </w:r>
    </w:p>
    <w:p w14:paraId="4C0F9F7A">
      <w:pPr>
        <w:keepNext w:val="0"/>
        <w:keepLines w:val="0"/>
        <w:pageBreakBefore w:val="0"/>
        <w:widowControl/>
        <w:numPr>
          <w:ilvl w:val="0"/>
          <w:numId w:val="0"/>
        </w:numPr>
        <w:suppressLineNumbers w:val="0"/>
        <w:pBdr>
          <w:top w:val="single" w:color="EBEBEB" w:sz="8"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ind w:left="240" w:leftChars="0" w:right="0" w:rightChars="0"/>
        <w:textAlignment w:val="auto"/>
        <w:rPr>
          <w:rFonts w:hint="default" w:ascii="sans-serif" w:hAnsi="sans-serif" w:eastAsia="sans-serif"/>
          <w:i w:val="0"/>
          <w:iCs w:val="0"/>
          <w:caps w:val="0"/>
          <w:color w:val="1A1C1E"/>
          <w:spacing w:val="0"/>
          <w:sz w:val="18"/>
          <w:szCs w:val="18"/>
          <w:shd w:val="clear" w:fill="FFFFFF"/>
        </w:rPr>
      </w:pPr>
      <w:r>
        <w:rPr>
          <w:rFonts w:hint="default" w:ascii="sans-serif" w:hAnsi="sans-serif" w:eastAsia="sans-serif"/>
          <w:i w:val="0"/>
          <w:iCs w:val="0"/>
          <w:caps w:val="0"/>
          <w:color w:val="1A1C1E"/>
          <w:spacing w:val="0"/>
          <w:sz w:val="18"/>
          <w:szCs w:val="18"/>
          <w:shd w:val="clear" w:fill="FFFFFF"/>
        </w:rPr>
        <w:t>This Report is a risk management and decision-support tool only.</w:t>
      </w:r>
    </w:p>
    <w:p w14:paraId="5EA46659">
      <w:pPr>
        <w:keepNext w:val="0"/>
        <w:keepLines w:val="0"/>
        <w:pageBreakBefore w:val="0"/>
        <w:widowControl/>
        <w:numPr>
          <w:ilvl w:val="0"/>
          <w:numId w:val="0"/>
        </w:numPr>
        <w:suppressLineNumbers w:val="0"/>
        <w:pBdr>
          <w:top w:val="single" w:color="EBEBEB" w:sz="8"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ind w:left="240" w:leftChars="0" w:right="0" w:rightChars="0"/>
        <w:textAlignment w:val="auto"/>
        <w:rPr>
          <w:rFonts w:hint="default" w:ascii="sans-serif" w:hAnsi="sans-serif" w:eastAsia="sans-serif" w:cs="sans-serif"/>
          <w:i w:val="0"/>
          <w:iCs w:val="0"/>
          <w:caps w:val="0"/>
          <w:spacing w:val="0"/>
          <w:sz w:val="28"/>
          <w:szCs w:val="28"/>
        </w:rPr>
      </w:pPr>
      <w:r>
        <w:rPr>
          <w:rFonts w:hint="default" w:ascii="sans-serif" w:hAnsi="sans-serif" w:eastAsia="sans-serif"/>
          <w:i w:val="0"/>
          <w:iCs w:val="0"/>
          <w:caps w:val="0"/>
          <w:color w:val="1A1C1E"/>
          <w:spacing w:val="0"/>
          <w:sz w:val="18"/>
          <w:szCs w:val="18"/>
          <w:shd w:val="clear" w:fill="FFFFFF"/>
        </w:rPr>
        <w:t>It does not constitute any state-based mandatory electrical compliance certification, rental safety inspection, or statutory approval unless expressly stated otherwise in writing.</w:t>
      </w:r>
      <w:r>
        <w:rPr>
          <w:rFonts w:hint="default" w:ascii="sans-serif" w:hAnsi="sans-serif" w:eastAsia="sans-serif" w:cs="sans-serif"/>
          <w:sz w:val="28"/>
          <w:szCs w:val="28"/>
        </w:rPr>
        <w:pict>
          <v:rect id="_x0000_i1032" o:spt="1" style="height:1.5pt;width:884pt;" fillcolor="#A0A0A0" filled="t" stroked="f" coordsize="21600,21600" o:hr="t" o:hrstd="t" o:hrpct="0" o:hralign="center">
            <v:path/>
            <v:fill on="t" focussize="0,0"/>
            <v:stroke on="f"/>
            <v:imagedata o:title=""/>
            <o:lock v:ext="edit"/>
            <w10:wrap type="none"/>
            <w10:anchorlock/>
          </v:rect>
        </w:pict>
      </w:r>
    </w:p>
    <w:p w14:paraId="4B372648">
      <w:pPr>
        <w:keepNext w:val="0"/>
        <w:keepLines w:val="0"/>
        <w:widowControl/>
        <w:suppressLineNumbers w:val="0"/>
        <w:jc w:val="left"/>
      </w:pPr>
    </w:p>
    <w:p w14:paraId="0A7C6296">
      <w:r>
        <w:br w:type="page"/>
      </w:r>
    </w:p>
    <w:p w14:paraId="327E69C1">
      <w:pPr>
        <w:pStyle w:val="3"/>
        <w:jc w:val="center"/>
      </w:pPr>
      <w:r>
        <w:t>Disclaimer &amp; Liability Boundary</w:t>
      </w:r>
    </w:p>
    <w:p w14:paraId="36ABE868">
      <w:pPr>
        <w:pStyle w:val="50"/>
      </w:pPr>
    </w:p>
    <w:p w14:paraId="12080929">
      <w:pPr>
        <w:pStyle w:val="50"/>
      </w:pPr>
    </w:p>
    <w:p w14:paraId="1BA82F25">
      <w:pPr>
        <w:pStyle w:val="50"/>
      </w:pPr>
    </w:p>
    <w:p w14:paraId="1D703976">
      <w:pPr>
        <w:pStyle w:val="50"/>
      </w:pPr>
    </w:p>
    <w:p w14:paraId="7BFFA8B5">
      <w:pPr>
        <w:pStyle w:val="52"/>
      </w:pPr>
      <w:r>
        <w:t>This assessment reflects the electrical condition</w:t>
      </w:r>
    </w:p>
    <w:p w14:paraId="19F81A2C">
      <w:pPr>
        <w:pStyle w:val="52"/>
      </w:pPr>
      <w:r>
        <w:t>observed at the time of inspection only.</w:t>
      </w:r>
    </w:p>
    <w:p w14:paraId="5E10CB8C">
      <w:pPr>
        <w:pStyle w:val="50"/>
      </w:pPr>
    </w:p>
    <w:p w14:paraId="455D913A">
      <w:pPr>
        <w:pStyle w:val="52"/>
      </w:pPr>
      <w:r>
        <w:t>No guarantee is provided regarding future performance</w:t>
      </w:r>
    </w:p>
    <w:p w14:paraId="31992FF8">
      <w:pPr>
        <w:pStyle w:val="52"/>
      </w:pPr>
      <w:r>
        <w:t>or concealed conditions beyond accessible areas.</w:t>
      </w:r>
    </w:p>
    <w:p w14:paraId="5CD20506">
      <w:pPr>
        <w:pStyle w:val="50"/>
      </w:pPr>
    </w:p>
    <w:p w14:paraId="00179F69">
      <w:pPr>
        <w:pStyle w:val="52"/>
      </w:pPr>
      <w:r>
        <w:t>This report does not replace statutory compliance inspections</w:t>
      </w:r>
    </w:p>
    <w:p w14:paraId="254B25A9">
      <w:pPr>
        <w:pStyle w:val="52"/>
      </w:pPr>
      <w:r>
        <w:t>or certification requirements.</w:t>
      </w:r>
    </w:p>
    <w:p w14:paraId="2A765E68">
      <w:pPr>
        <w:pStyle w:val="13"/>
        <w:numPr>
          <w:ilvl w:val="0"/>
          <w:numId w:val="0"/>
        </w:numPr>
        <w:rPr>
          <w:lang w:val="en-AU" w:eastAsia="zh-CN"/>
        </w:rPr>
      </w:pPr>
    </w:p>
    <w:sectPr>
      <w:footerReference r:id="rId6" w:type="first"/>
      <w:footerReference r:id="rId5" w:type="default"/>
      <w:headerReference w:type="default" r:id="rId10"/>
      <w:pgSz w:w="12240" w:h="15840"/>
      <w:pgMar w:top="1901" w:right="1008" w:bottom="1440" w:left="1008" w:header="720" w:footer="432"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黑体-简"/>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Georgia">
    <w:panose1 w:val="02040502050405090303"/>
    <w:charset w:val="00"/>
    <w:family w:val="roman"/>
    <w:pitch w:val="default"/>
    <w:sig w:usb0="00000287" w:usb1="00000000" w:usb2="00000000" w:usb3="00000000" w:csb0="2000009F" w:csb1="00000000"/>
  </w:font>
  <w:font w:name="方正舒体">
    <w:altName w:val="苹方-简"/>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Times New Roman Regular">
    <w:panose1 w:val="02020503050405090304"/>
    <w:charset w:val="00"/>
    <w:family w:val="auto"/>
    <w:pitch w:val="default"/>
    <w:sig w:usb0="E0000AFF" w:usb1="00007843" w:usb2="00000001" w:usb3="00000000" w:csb0="400001BF" w:csb1="DFF70000"/>
  </w:font>
  <w:font w:name="Times New Roman Bold Italic">
    <w:panose1 w:val="02020503050405090304"/>
    <w:charset w:val="00"/>
    <w:family w:val="auto"/>
    <w:pitch w:val="default"/>
    <w:sig w:usb0="E0000AFF" w:usb1="00007843" w:usb2="00000001" w:usb3="00000000" w:csb0="400001BF" w:csb1="DFF70000"/>
  </w:font>
  <w:font w:name=".AppleSystemUIFont">
    <w:altName w:val="苹方-简"/>
    <w:panose1 w:val="020B0604020202020204"/>
    <w:charset w:val="00"/>
    <w:family w:val="roman"/>
    <w:pitch w:val="default"/>
    <w:sig w:usb0="00000000" w:usb1="00000000" w:usb2="00000000" w:usb3="00000000" w:csb0="00000000" w:csb1="00000000"/>
  </w:font>
  <w:font w:name="Apple Color Emoji">
    <w:panose1 w:val="00000000000000000000"/>
    <w:charset w:val="00"/>
    <w:family w:val="auto"/>
    <w:pitch w:val="default"/>
    <w:sig w:usb0="00000003" w:usb1="18000000" w:usb2="14000000" w:usb3="00000000" w:csb0="00000001" w:csb1="00000000"/>
  </w:font>
  <w:font w:name="Arial Italic">
    <w:panose1 w:val="020B0604020202090204"/>
    <w:charset w:val="00"/>
    <w:family w:val="auto"/>
    <w:pitch w:val="default"/>
    <w:sig w:usb0="E0000AFF" w:usb1="00007843" w:usb2="00000001" w:usb3="00000000" w:csb0="400001BF" w:csb1="DFF70000"/>
  </w:font>
  <w:font w:name="sans-serif">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w:panose1 w:val="020B0604020202090204"/>
    <w:charset w:val="00"/>
    <w:family w:val="auto"/>
    <w:pitch w:val="default"/>
    <w:sig w:usb0="E0000AFF" w:usb1="00007843" w:usb2="00000001" w:usb3="00000000" w:csb0="400001BF" w:csb1="DFF7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黑体-简">
    <w:panose1 w:val="02000000000000000000"/>
    <w:charset w:val="86"/>
    <w:family w:val="auto"/>
    <w:pitch w:val="default"/>
    <w:sig w:usb0="8000002F" w:usb1="0800004A" w:usb2="00000000" w:usb3="00000000" w:csb0="203E0000" w:csb1="00000000"/>
  </w:font>
  <w:font w:name="黑体">
    <w:altName w:val="黑体-简"/>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
      <w:docPartObj>
        <w:docPartGallery w:val="autotext"/>
      </w:docPartObj>
    </w:sdtPr>
    <w:sdtContent>
      <w:p w14:paraId="273B776C">
        <w:pPr>
          <w:pStyle w:val="14"/>
        </w:pPr>
        <w:r>
          <w:fldChar w:fldCharType="begin"/>
        </w:r>
        <w:r>
          <w:instrText xml:space="preserve"> PAGE   \* MERGEFORMAT </w:instrText>
        </w:r>
        <w:r>
          <w:fldChar w:fldCharType="separate"/>
        </w:r>
        <w:r>
          <w:t>2</w:t>
        </w:r>
        <w:r>
          <w:fldChar w:fldCharType="end"/>
        </w:r>
        <w:r>
          <w:t xml:space="preserve">                                        </w:t>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F6F2B1">
    <w:pPr>
      <w:pStyle w:val="14"/>
      <w:rPr>
        <w:lang w:val="en-AU"/>
      </w:rPr>
    </w:pPr>
    <w:r>
      <w:rPr>
        <w:rFonts w:hint="eastAsia"/>
        <w:lang w:eastAsia="zh-CN"/>
      </w:rPr>
      <w:t>Better Home Technology Pty</w:t>
    </w:r>
    <w:r>
      <w:rPr>
        <w:lang w:val="en-AU" w:eastAsia="zh-CN"/>
      </w:rPr>
      <w:t>.Ltd.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FE261"/>
    <w:multiLevelType w:val="singleLevel"/>
    <w:tmpl w:val="DFFFE261"/>
    <w:lvl w:ilvl="0" w:tentative="0">
      <w:start w:val="1"/>
      <w:numFmt w:val="decimal"/>
      <w:lvlText w:val="%1."/>
      <w:lvlJc w:val="left"/>
      <w:pPr>
        <w:tabs>
          <w:tab w:val="left" w:pos="0"/>
        </w:tabs>
        <w:ind w:left="425" w:hanging="425"/>
      </w:pPr>
      <w:rPr>
        <w:rFonts w:hint="default"/>
      </w:rPr>
    </w:lvl>
  </w:abstractNum>
  <w:abstractNum w:abstractNumId="1">
    <w:nsid w:val="FE733A97"/>
    <w:multiLevelType w:val="multilevel"/>
    <w:tmpl w:val="FE733A97"/>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06312D36"/>
    <w:multiLevelType w:val="multilevel"/>
    <w:tmpl w:val="06312D3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0A2A271A"/>
    <w:multiLevelType w:val="multilevel"/>
    <w:tmpl w:val="0A2A271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0C4B5103"/>
    <w:multiLevelType w:val="multilevel"/>
    <w:tmpl w:val="0C4B5103"/>
    <w:lvl w:ilvl="0" w:tentative="0">
      <w:start w:val="1"/>
      <w:numFmt w:val="decimal"/>
      <w:pStyle w:val="11"/>
      <w:lvlText w:val="%1."/>
      <w:lvlJc w:val="left"/>
      <w:pPr>
        <w:tabs>
          <w:tab w:val="left" w:pos="936"/>
        </w:tabs>
        <w:ind w:left="936"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0D6103B9"/>
    <w:multiLevelType w:val="multilevel"/>
    <w:tmpl w:val="0D6103B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30CD6E3B"/>
    <w:multiLevelType w:val="multilevel"/>
    <w:tmpl w:val="30CD6E3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3CEC6F3B"/>
    <w:multiLevelType w:val="multilevel"/>
    <w:tmpl w:val="3CEC6F3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4C372315"/>
    <w:multiLevelType w:val="multilevel"/>
    <w:tmpl w:val="4C37231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4F2621DA"/>
    <w:multiLevelType w:val="multilevel"/>
    <w:tmpl w:val="4F2621D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79F61C5D"/>
    <w:multiLevelType w:val="multilevel"/>
    <w:tmpl w:val="79F61C5D"/>
    <w:lvl w:ilvl="0" w:tentative="0">
      <w:start w:val="1"/>
      <w:numFmt w:val="bullet"/>
      <w:pStyle w:val="13"/>
      <w:lvlText w:val=""/>
      <w:lvlJc w:val="left"/>
      <w:pPr>
        <w:tabs>
          <w:tab w:val="left" w:pos="936"/>
        </w:tabs>
        <w:ind w:left="936"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FDE3ADB"/>
    <w:multiLevelType w:val="multilevel"/>
    <w:tmpl w:val="7FDE3AD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4"/>
  </w:num>
  <w:num w:numId="2">
    <w:abstractNumId w:val="10"/>
  </w:num>
  <w:num w:numId="3">
    <w:abstractNumId w:val="1"/>
  </w:num>
  <w:num w:numId="4">
    <w:abstractNumId w:val="2"/>
  </w:num>
  <w:num w:numId="5">
    <w:abstractNumId w:val="5"/>
  </w:num>
  <w:num w:numId="6">
    <w:abstractNumId w:val="11"/>
  </w:num>
  <w:num w:numId="7">
    <w:abstractNumId w:val="7"/>
  </w:num>
  <w:num w:numId="8">
    <w:abstractNumId w:val="3"/>
  </w:num>
  <w:num w:numId="9">
    <w:abstractNumId w:val="6"/>
  </w:num>
  <w:num w:numId="10">
    <w:abstractNumId w:val="8"/>
  </w:num>
  <w:num w:numId="11">
    <w:abstractNumId w:val="9"/>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4"/>
  <w:bordersDoNotSurroundHeader w:val="0"/>
  <w:bordersDoNotSurroundFooter w:val="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5FE5"/>
    <w:rsid w:val="00012967"/>
    <w:rsid w:val="004469C0"/>
    <w:rsid w:val="00452F1E"/>
    <w:rsid w:val="005F386F"/>
    <w:rsid w:val="00944B7C"/>
    <w:rsid w:val="00995FE5"/>
    <w:rsid w:val="00A30267"/>
    <w:rsid w:val="00CC160D"/>
    <w:rsid w:val="00D03948"/>
    <w:rsid w:val="00E73B30"/>
    <w:rsid w:val="3E7FF5A5"/>
    <w:rsid w:val="5B377716"/>
    <w:rsid w:val="6ACF876D"/>
    <w:rsid w:val="A3DCBA53"/>
    <w:rsid w:val="FEF78A0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nhideWhenUsed="0" w:uiPriority="31" w:semiHidden="0" w:name="List Bullet"/>
    <w:lsdException w:qFormat="1" w:unhideWhenUsed="0" w:uiPriority="32" w:semiHidden="0"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iPriority="1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iPriority="11"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iPriority="22" w:name="Strong"/>
    <w:lsdException w:qFormat="1" w:uiPriority="2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29" w:semiHidden="0" w:name="Quote"/>
    <w:lsdException w:qFormat="1" w:uiPriority="3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60" w:after="320" w:line="360" w:lineRule="auto"/>
    </w:pPr>
    <w:rPr>
      <w:rFonts w:eastAsia="宋体" w:asciiTheme="minorHAnsi" w:hAnsiTheme="minorHAnsi" w:cstheme="minorBidi"/>
      <w:color w:val="808080" w:themeColor="text1" w:themeTint="80"/>
      <w:sz w:val="24"/>
      <w:szCs w:val="24"/>
      <w:lang w:val="en-US" w:eastAsia="ja-JP" w:bidi="ar-SA"/>
      <w14:textFill>
        <w14:solidFill>
          <w14:schemeClr w14:val="tx1">
            <w14:lumMod w14:val="50000"/>
            <w14:lumOff w14:val="50000"/>
          </w14:schemeClr>
        </w14:solidFill>
      </w14:textFill>
    </w:rPr>
  </w:style>
  <w:style w:type="paragraph" w:styleId="2">
    <w:name w:val="heading 1"/>
    <w:basedOn w:val="1"/>
    <w:next w:val="1"/>
    <w:link w:val="26"/>
    <w:qFormat/>
    <w:uiPriority w:val="9"/>
    <w:pPr>
      <w:keepNext/>
      <w:keepLines/>
      <w:spacing w:before="240" w:line="240" w:lineRule="auto"/>
      <w:outlineLvl w:val="0"/>
    </w:pPr>
    <w:rPr>
      <w:rFonts w:asciiTheme="majorHAnsi" w:hAnsiTheme="majorHAnsi" w:eastAsiaTheme="majorEastAsia" w:cstheme="majorBidi"/>
      <w:caps/>
      <w:color w:val="0072C6" w:themeColor="accent1"/>
      <w:spacing w:val="14"/>
      <w:sz w:val="64"/>
      <w:szCs w:val="32"/>
      <w14:textFill>
        <w14:solidFill>
          <w14:schemeClr w14:val="accent1"/>
        </w14:solidFill>
      </w14:textFill>
    </w:rPr>
  </w:style>
  <w:style w:type="paragraph" w:styleId="3">
    <w:name w:val="heading 2"/>
    <w:basedOn w:val="1"/>
    <w:next w:val="1"/>
    <w:link w:val="27"/>
    <w:unhideWhenUsed/>
    <w:qFormat/>
    <w:uiPriority w:val="9"/>
    <w:pPr>
      <w:keepNext/>
      <w:keepLines/>
      <w:spacing w:after="200" w:line="240" w:lineRule="auto"/>
      <w:outlineLvl w:val="1"/>
    </w:pPr>
    <w:rPr>
      <w:rFonts w:asciiTheme="majorHAnsi" w:hAnsiTheme="majorHAnsi" w:eastAsiaTheme="majorEastAsia" w:cstheme="majorBidi"/>
      <w:caps/>
      <w:color w:val="0072C6" w:themeColor="accent1"/>
      <w:spacing w:val="14"/>
      <w:sz w:val="40"/>
      <w:szCs w:val="26"/>
      <w14:textFill>
        <w14:solidFill>
          <w14:schemeClr w14:val="accent1"/>
        </w14:solidFill>
      </w14:textFill>
    </w:rPr>
  </w:style>
  <w:style w:type="paragraph" w:styleId="4">
    <w:name w:val="heading 3"/>
    <w:basedOn w:val="1"/>
    <w:next w:val="1"/>
    <w:link w:val="46"/>
    <w:unhideWhenUsed/>
    <w:qFormat/>
    <w:uiPriority w:val="9"/>
    <w:pPr>
      <w:keepNext/>
      <w:keepLines/>
      <w:spacing w:after="240" w:line="240" w:lineRule="auto"/>
      <w:contextualSpacing/>
      <w:outlineLvl w:val="2"/>
    </w:pPr>
    <w:rPr>
      <w:rFonts w:asciiTheme="majorHAnsi" w:hAnsiTheme="majorHAnsi" w:eastAsiaTheme="majorEastAsia" w:cstheme="majorBidi"/>
      <w:color w:val="0072C6" w:themeColor="accent1"/>
      <w:sz w:val="34"/>
      <w14:textFill>
        <w14:solidFill>
          <w14:schemeClr w14:val="accent1"/>
        </w14:solidFill>
      </w14:textFill>
    </w:rPr>
  </w:style>
  <w:style w:type="paragraph" w:styleId="5">
    <w:name w:val="heading 4"/>
    <w:basedOn w:val="1"/>
    <w:next w:val="1"/>
    <w:link w:val="56"/>
    <w:unhideWhenUsed/>
    <w:qFormat/>
    <w:uiPriority w:val="9"/>
    <w:pPr>
      <w:keepNext/>
      <w:keepLines/>
      <w:spacing w:before="40" w:after="0"/>
      <w:outlineLvl w:val="3"/>
    </w:pPr>
    <w:rPr>
      <w:rFonts w:asciiTheme="majorHAnsi" w:hAnsiTheme="majorHAnsi" w:eastAsiaTheme="majorEastAsia" w:cstheme="majorBidi"/>
      <w:i/>
      <w:iCs/>
      <w:color w:val="005695" w:themeColor="accent1" w:themeShade="BF"/>
    </w:rPr>
  </w:style>
  <w:style w:type="paragraph" w:styleId="6">
    <w:name w:val="heading 5"/>
    <w:basedOn w:val="1"/>
    <w:next w:val="1"/>
    <w:unhideWhenUsed/>
    <w:qFormat/>
    <w:uiPriority w:val="9"/>
    <w:pPr>
      <w:keepNext/>
      <w:keepLines/>
      <w:spacing w:before="280" w:beforeLines="0" w:beforeAutospacing="0" w:after="290" w:afterLines="0" w:afterAutospacing="0" w:line="372" w:lineRule="auto"/>
      <w:outlineLvl w:val="4"/>
    </w:pPr>
    <w:rPr>
      <w:b/>
      <w:sz w:val="28"/>
    </w:rPr>
  </w:style>
  <w:style w:type="paragraph" w:styleId="7">
    <w:name w:val="heading 6"/>
    <w:basedOn w:val="1"/>
    <w:next w:val="1"/>
    <w:link w:val="47"/>
    <w:semiHidden/>
    <w:unhideWhenUsed/>
    <w:qFormat/>
    <w:uiPriority w:val="9"/>
    <w:pPr>
      <w:keepNext/>
      <w:keepLines/>
      <w:spacing w:before="40" w:after="0"/>
      <w:outlineLvl w:val="5"/>
    </w:pPr>
    <w:rPr>
      <w:rFonts w:asciiTheme="majorHAnsi" w:hAnsiTheme="majorHAnsi" w:eastAsiaTheme="majorEastAsia" w:cstheme="majorBidi"/>
      <w:color w:val="0072C6" w:themeColor="accent1"/>
      <w14:textFill>
        <w14:solidFill>
          <w14:schemeClr w14:val="accent1"/>
        </w14:solidFill>
      </w14:textFill>
    </w:rPr>
  </w:style>
  <w:style w:type="paragraph" w:styleId="8">
    <w:name w:val="heading 7"/>
    <w:basedOn w:val="1"/>
    <w:next w:val="1"/>
    <w:link w:val="32"/>
    <w:semiHidden/>
    <w:unhideWhenUsed/>
    <w:qFormat/>
    <w:uiPriority w:val="9"/>
    <w:pPr>
      <w:keepNext/>
      <w:keepLines/>
      <w:spacing w:after="180" w:line="240" w:lineRule="auto"/>
      <w:outlineLvl w:val="6"/>
    </w:pPr>
    <w:rPr>
      <w:rFonts w:asciiTheme="majorHAnsi" w:hAnsiTheme="majorHAnsi" w:eastAsiaTheme="majorEastAsia" w:cstheme="majorBidi"/>
      <w:i/>
      <w:iCs/>
      <w:spacing w:val="14"/>
    </w:rPr>
  </w:style>
  <w:style w:type="paragraph" w:styleId="9">
    <w:name w:val="heading 8"/>
    <w:basedOn w:val="1"/>
    <w:next w:val="1"/>
    <w:link w:val="33"/>
    <w:semiHidden/>
    <w:unhideWhenUsed/>
    <w:qFormat/>
    <w:uiPriority w:val="9"/>
    <w:pPr>
      <w:keepNext/>
      <w:keepLines/>
      <w:spacing w:after="180" w:line="240" w:lineRule="auto"/>
      <w:outlineLvl w:val="7"/>
    </w:pPr>
    <w:rPr>
      <w:rFonts w:asciiTheme="majorHAnsi" w:hAnsiTheme="majorHAnsi" w:eastAsiaTheme="majorEastAsia" w:cstheme="majorBidi"/>
      <w:spacing w:val="14"/>
      <w:sz w:val="26"/>
      <w:szCs w:val="21"/>
    </w:rPr>
  </w:style>
  <w:style w:type="paragraph" w:styleId="10">
    <w:name w:val="heading 9"/>
    <w:basedOn w:val="1"/>
    <w:next w:val="1"/>
    <w:link w:val="34"/>
    <w:semiHidden/>
    <w:unhideWhenUsed/>
    <w:qFormat/>
    <w:uiPriority w:val="9"/>
    <w:pPr>
      <w:keepNext/>
      <w:keepLines/>
      <w:spacing w:after="180" w:line="240" w:lineRule="auto"/>
      <w:outlineLvl w:val="8"/>
    </w:pPr>
    <w:rPr>
      <w:rFonts w:asciiTheme="majorHAnsi" w:hAnsiTheme="majorHAnsi" w:eastAsiaTheme="majorEastAsia" w:cstheme="majorBidi"/>
      <w:i/>
      <w:iCs/>
      <w:spacing w:val="14"/>
      <w:sz w:val="26"/>
      <w:szCs w:val="21"/>
    </w:rPr>
  </w:style>
  <w:style w:type="character" w:default="1" w:styleId="21">
    <w:name w:val="Default Paragraph Font"/>
    <w:unhideWhenUsed/>
    <w:uiPriority w:val="1"/>
  </w:style>
  <w:style w:type="table" w:default="1" w:styleId="19">
    <w:name w:val="Normal Table"/>
    <w:semiHidden/>
    <w:unhideWhenUsed/>
    <w:uiPriority w:val="99"/>
    <w:tblPr>
      <w:tblCellMar>
        <w:top w:w="0" w:type="dxa"/>
        <w:left w:w="108" w:type="dxa"/>
        <w:bottom w:w="0" w:type="dxa"/>
        <w:right w:w="108" w:type="dxa"/>
      </w:tblCellMar>
    </w:tblPr>
  </w:style>
  <w:style w:type="paragraph" w:styleId="11">
    <w:name w:val="List Number"/>
    <w:basedOn w:val="1"/>
    <w:qFormat/>
    <w:uiPriority w:val="32"/>
    <w:pPr>
      <w:numPr>
        <w:ilvl w:val="0"/>
        <w:numId w:val="1"/>
      </w:numPr>
      <w:contextualSpacing/>
    </w:pPr>
  </w:style>
  <w:style w:type="paragraph" w:styleId="12">
    <w:name w:val="caption"/>
    <w:basedOn w:val="1"/>
    <w:next w:val="1"/>
    <w:semiHidden/>
    <w:unhideWhenUsed/>
    <w:qFormat/>
    <w:uiPriority w:val="35"/>
    <w:pPr>
      <w:spacing w:after="200" w:line="240" w:lineRule="auto"/>
    </w:pPr>
    <w:rPr>
      <w:i/>
      <w:iCs/>
      <w:sz w:val="20"/>
      <w:szCs w:val="18"/>
    </w:rPr>
  </w:style>
  <w:style w:type="paragraph" w:styleId="13">
    <w:name w:val="List Bullet"/>
    <w:basedOn w:val="1"/>
    <w:qFormat/>
    <w:uiPriority w:val="31"/>
    <w:pPr>
      <w:numPr>
        <w:ilvl w:val="0"/>
        <w:numId w:val="2"/>
      </w:numPr>
      <w:contextualSpacing/>
    </w:pPr>
  </w:style>
  <w:style w:type="paragraph" w:styleId="14">
    <w:name w:val="footer"/>
    <w:basedOn w:val="1"/>
    <w:link w:val="42"/>
    <w:unhideWhenUsed/>
    <w:qFormat/>
    <w:uiPriority w:val="99"/>
    <w:pPr>
      <w:pBdr>
        <w:top w:val="single" w:color="0072C6" w:themeColor="accent1" w:sz="4" w:space="8"/>
        <w:left w:val="single" w:color="0072C6" w:themeColor="accent1" w:sz="4" w:space="31"/>
        <w:bottom w:val="single" w:color="0072C6" w:themeColor="accent1" w:sz="4" w:space="8"/>
        <w:right w:val="single" w:color="0072C6" w:themeColor="accent1" w:sz="4" w:space="31"/>
      </w:pBdr>
      <w:shd w:val="clear" w:color="auto" w:fill="0072C6" w:themeFill="accent1"/>
      <w:spacing w:before="0" w:after="0" w:line="240" w:lineRule="auto"/>
    </w:pPr>
    <w:rPr>
      <w:color w:val="FFFFFF" w:themeColor="background1"/>
      <w14:textFill>
        <w14:solidFill>
          <w14:schemeClr w14:val="bg1"/>
        </w14:solidFill>
      </w14:textFill>
    </w:rPr>
  </w:style>
  <w:style w:type="paragraph" w:styleId="15">
    <w:name w:val="header"/>
    <w:basedOn w:val="1"/>
    <w:link w:val="28"/>
    <w:unhideWhenUsed/>
    <w:uiPriority w:val="99"/>
    <w:pPr>
      <w:spacing w:before="0" w:after="0" w:line="240" w:lineRule="auto"/>
    </w:pPr>
  </w:style>
  <w:style w:type="paragraph" w:styleId="16">
    <w:name w:val="Subtitle"/>
    <w:basedOn w:val="1"/>
    <w:next w:val="1"/>
    <w:link w:val="31"/>
    <w:semiHidden/>
    <w:unhideWhenUsed/>
    <w:qFormat/>
    <w:uiPriority w:val="11"/>
    <w:pPr>
      <w:spacing w:before="0" w:after="720" w:line="240" w:lineRule="auto"/>
      <w:contextualSpacing/>
    </w:pPr>
    <w:rPr>
      <w:rFonts w:eastAsiaTheme="minorEastAsia"/>
      <w:caps/>
      <w:sz w:val="40"/>
      <w:szCs w:val="22"/>
    </w:rPr>
  </w:style>
  <w:style w:type="paragraph" w:styleId="17">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18">
    <w:name w:val="Title"/>
    <w:basedOn w:val="1"/>
    <w:next w:val="1"/>
    <w:link w:val="25"/>
    <w:semiHidden/>
    <w:unhideWhenUsed/>
    <w:qFormat/>
    <w:uiPriority w:val="10"/>
    <w:pPr>
      <w:spacing w:before="0" w:after="0" w:line="240" w:lineRule="auto"/>
      <w:contextualSpacing/>
    </w:pPr>
    <w:rPr>
      <w:rFonts w:asciiTheme="majorHAnsi" w:hAnsiTheme="majorHAnsi" w:eastAsiaTheme="majorEastAsia" w:cstheme="majorBidi"/>
      <w:caps/>
      <w:color w:val="F98723" w:themeColor="accent2"/>
      <w:spacing w:val="14"/>
      <w:kern w:val="28"/>
      <w:sz w:val="84"/>
      <w:szCs w:val="56"/>
      <w14:textFill>
        <w14:solidFill>
          <w14:schemeClr w14:val="accent2"/>
        </w14:solidFill>
      </w14:textFill>
    </w:rPr>
  </w:style>
  <w:style w:type="table" w:styleId="20">
    <w:name w:val="Table Grid"/>
    <w:basedOn w:val="19"/>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semiHidden/>
    <w:unhideWhenUsed/>
    <w:qFormat/>
    <w:uiPriority w:val="22"/>
    <w:rPr>
      <w:b/>
      <w:bCs/>
      <w:color w:val="0072C6" w:themeColor="accent1"/>
      <w14:textFill>
        <w14:solidFill>
          <w14:schemeClr w14:val="accent1"/>
        </w14:solidFill>
      </w14:textFill>
    </w:rPr>
  </w:style>
  <w:style w:type="character" w:styleId="23">
    <w:name w:val="Emphasis"/>
    <w:basedOn w:val="21"/>
    <w:semiHidden/>
    <w:unhideWhenUsed/>
    <w:qFormat/>
    <w:uiPriority w:val="20"/>
    <w:rPr>
      <w:i/>
      <w:iCs/>
      <w:color w:val="F98723" w:themeColor="accent2"/>
      <w14:textFill>
        <w14:solidFill>
          <w14:schemeClr w14:val="accent2"/>
        </w14:solidFill>
      </w14:textFill>
    </w:rPr>
  </w:style>
  <w:style w:type="table" w:customStyle="1" w:styleId="24">
    <w:name w:val="List Table 3 Accent 1"/>
    <w:basedOn w:val="19"/>
    <w:uiPriority w:val="48"/>
    <w:pPr>
      <w:spacing w:after="0" w:line="240" w:lineRule="auto"/>
    </w:pPr>
    <w:tblPr>
      <w:tblBorders>
        <w:top w:val="single" w:color="0072C6" w:themeColor="accent1" w:sz="4" w:space="0"/>
        <w:left w:val="single" w:color="0072C6" w:themeColor="accent1" w:sz="4" w:space="0"/>
        <w:bottom w:val="single" w:color="0072C6" w:themeColor="accent1" w:sz="4" w:space="0"/>
        <w:right w:val="single" w:color="0072C6" w:themeColor="accent1" w:sz="4" w:space="0"/>
      </w:tblBorders>
    </w:tblPr>
    <w:tblStylePr w:type="firstRow">
      <w:rPr>
        <w:b/>
        <w:bCs/>
        <w:color w:val="FFFFFF" w:themeColor="background1"/>
        <w14:textFill>
          <w14:solidFill>
            <w14:schemeClr w14:val="bg1"/>
          </w14:solidFill>
        </w14:textFill>
      </w:rPr>
      <w:tcPr>
        <w:shd w:val="clear" w:color="auto" w:fill="0072C6" w:themeFill="accent1"/>
      </w:tcPr>
    </w:tblStylePr>
    <w:tblStylePr w:type="lastRow">
      <w:rPr>
        <w:b/>
        <w:bCs/>
      </w:rPr>
      <w:tcPr>
        <w:tcBorders>
          <w:top w:val="double" w:color="0072C6" w:themeColor="accent1"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0072C6" w:themeColor="accent1" w:sz="4" w:space="0"/>
          <w:right w:val="single" w:color="0072C6" w:themeColor="accent1" w:sz="4" w:space="0"/>
        </w:tcBorders>
      </w:tcPr>
    </w:tblStylePr>
    <w:tblStylePr w:type="band1Horz">
      <w:tcPr>
        <w:tcBorders>
          <w:top w:val="single" w:color="0072C6" w:themeColor="accent1" w:sz="4" w:space="0"/>
          <w:bottom w:val="single" w:color="0072C6" w:themeColor="accent1"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0072C6" w:themeColor="accent1" w:sz="4" w:space="0"/>
          <w:left w:val="nil"/>
        </w:tcBorders>
      </w:tcPr>
    </w:tblStylePr>
    <w:tblStylePr w:type="swCell">
      <w:tcPr>
        <w:tcBorders>
          <w:top w:val="double" w:color="0072C6" w:themeColor="accent1" w:sz="4" w:space="0"/>
          <w:right w:val="nil"/>
        </w:tcBorders>
      </w:tcPr>
    </w:tblStylePr>
  </w:style>
  <w:style w:type="character" w:customStyle="1" w:styleId="25">
    <w:name w:val="Title Char"/>
    <w:basedOn w:val="21"/>
    <w:link w:val="18"/>
    <w:semiHidden/>
    <w:uiPriority w:val="10"/>
    <w:rPr>
      <w:rFonts w:asciiTheme="majorHAnsi" w:hAnsiTheme="majorHAnsi" w:eastAsiaTheme="majorEastAsia" w:cstheme="majorBidi"/>
      <w:caps/>
      <w:color w:val="F98723" w:themeColor="accent2"/>
      <w:spacing w:val="14"/>
      <w:kern w:val="28"/>
      <w:sz w:val="84"/>
      <w:szCs w:val="56"/>
      <w14:textFill>
        <w14:solidFill>
          <w14:schemeClr w14:val="accent2"/>
        </w14:solidFill>
      </w14:textFill>
    </w:rPr>
  </w:style>
  <w:style w:type="character" w:customStyle="1" w:styleId="26">
    <w:name w:val="Heading 1 Char"/>
    <w:basedOn w:val="21"/>
    <w:link w:val="2"/>
    <w:uiPriority w:val="9"/>
    <w:rPr>
      <w:rFonts w:asciiTheme="majorHAnsi" w:hAnsiTheme="majorHAnsi" w:eastAsiaTheme="majorEastAsia" w:cstheme="majorBidi"/>
      <w:caps/>
      <w:color w:val="0072C6" w:themeColor="accent1"/>
      <w:spacing w:val="14"/>
      <w:sz w:val="64"/>
      <w:szCs w:val="32"/>
      <w14:textFill>
        <w14:solidFill>
          <w14:schemeClr w14:val="accent1"/>
        </w14:solidFill>
      </w14:textFill>
    </w:rPr>
  </w:style>
  <w:style w:type="character" w:customStyle="1" w:styleId="27">
    <w:name w:val="Heading 2 Char"/>
    <w:basedOn w:val="21"/>
    <w:link w:val="3"/>
    <w:uiPriority w:val="9"/>
    <w:rPr>
      <w:rFonts w:asciiTheme="majorHAnsi" w:hAnsiTheme="majorHAnsi" w:eastAsiaTheme="majorEastAsia" w:cstheme="majorBidi"/>
      <w:caps/>
      <w:color w:val="0072C6" w:themeColor="accent1"/>
      <w:spacing w:val="14"/>
      <w:sz w:val="40"/>
      <w:szCs w:val="26"/>
      <w14:textFill>
        <w14:solidFill>
          <w14:schemeClr w14:val="accent1"/>
        </w14:solidFill>
      </w14:textFill>
    </w:rPr>
  </w:style>
  <w:style w:type="character" w:customStyle="1" w:styleId="28">
    <w:name w:val="Header Char"/>
    <w:basedOn w:val="21"/>
    <w:link w:val="15"/>
    <w:uiPriority w:val="99"/>
  </w:style>
  <w:style w:type="paragraph" w:styleId="29">
    <w:name w:val="Intense Quote"/>
    <w:basedOn w:val="1"/>
    <w:next w:val="1"/>
    <w:link w:val="45"/>
    <w:semiHidden/>
    <w:unhideWhenUsed/>
    <w:qFormat/>
    <w:uiPriority w:val="30"/>
    <w:pPr>
      <w:spacing w:before="360" w:after="560" w:line="264" w:lineRule="auto"/>
      <w:ind w:left="605" w:right="605"/>
      <w:contextualSpacing/>
    </w:pPr>
    <w:rPr>
      <w:rFonts w:asciiTheme="majorHAnsi" w:hAnsiTheme="majorHAnsi"/>
      <w:i/>
      <w:iCs/>
      <w:color w:val="F98723" w:themeColor="accent2"/>
      <w:sz w:val="32"/>
      <w14:textFill>
        <w14:solidFill>
          <w14:schemeClr w14:val="accent2"/>
        </w14:solidFill>
      </w14:textFill>
    </w:rPr>
  </w:style>
  <w:style w:type="table" w:customStyle="1" w:styleId="30">
    <w:name w:val="Business Paper"/>
    <w:basedOn w:val="19"/>
    <w:uiPriority w:val="99"/>
    <w:pPr>
      <w:spacing w:before="240" w:after="180" w:line="240" w:lineRule="auto"/>
    </w:pPr>
    <w:rPr>
      <w:b/>
    </w:rPr>
    <w:tblPr>
      <w:tblBorders>
        <w:bottom w:val="single" w:color="0072C6" w:themeColor="accent1" w:sz="6" w:space="0"/>
        <w:insideH w:val="single" w:color="0072C6" w:themeColor="accent1" w:sz="6" w:space="0"/>
      </w:tblBorders>
      <w:tblCellMar>
        <w:left w:w="230" w:type="dxa"/>
        <w:right w:w="0" w:type="dxa"/>
      </w:tblCellMar>
    </w:tblPr>
    <w:tblStylePr w:type="firstRow">
      <w:pPr>
        <w:wordWrap/>
        <w:spacing w:before="200" w:beforeLines="0" w:beforeAutospacing="0" w:after="160" w:afterLines="0" w:afterAutospacing="0"/>
      </w:pPr>
      <w:rPr>
        <w:b/>
        <w:i w:val="0"/>
        <w:color w:val="FDF9F7" w:themeColor="background2"/>
        <w:sz w:val="28"/>
        <w14:textFill>
          <w14:solidFill>
            <w14:schemeClr w14:val="bg2"/>
          </w14:solidFill>
        </w14:textFill>
      </w:rPr>
      <w:tblPr/>
      <w:trPr>
        <w:tblHeader/>
      </w:trPr>
      <w:tcPr>
        <w:tcBorders>
          <w:top w:val="nil"/>
          <w:left w:val="nil"/>
          <w:bottom w:val="nil"/>
          <w:right w:val="nil"/>
          <w:insideH w:val="nil"/>
          <w:insideV w:val="nil"/>
          <w:tl2br w:val="nil"/>
          <w:tr2bl w:val="nil"/>
        </w:tcBorders>
        <w:shd w:val="clear" w:color="auto" w:fill="0072C6" w:themeFill="accent1"/>
        <w:vAlign w:val="bottom"/>
      </w:tcPr>
    </w:tblStylePr>
    <w:tblStylePr w:type="firstCol">
      <w:pPr>
        <w:wordWrap/>
        <w:spacing w:before="240" w:beforeLines="0" w:beforeAutospacing="0" w:after="180" w:afterLines="0" w:afterAutospacing="0"/>
        <w:jc w:val="right"/>
      </w:pPr>
      <w:rPr>
        <w:rFonts w:asciiTheme="majorHAnsi" w:hAnsiTheme="majorHAnsi"/>
        <w:b w:val="0"/>
        <w:i w:val="0"/>
        <w:color w:val="0072C6" w:themeColor="accent1"/>
        <w:sz w:val="24"/>
        <w14:textFill>
          <w14:solidFill>
            <w14:schemeClr w14:val="accent1"/>
          </w14:solidFill>
        </w14:textFill>
      </w:rPr>
    </w:tblStylePr>
    <w:tblStylePr w:type="nwCell">
      <w:pPr>
        <w:wordWrap/>
        <w:jc w:val="left"/>
      </w:pPr>
    </w:tblStylePr>
  </w:style>
  <w:style w:type="character" w:customStyle="1" w:styleId="31">
    <w:name w:val="Subtitle Char"/>
    <w:basedOn w:val="21"/>
    <w:link w:val="16"/>
    <w:semiHidden/>
    <w:uiPriority w:val="11"/>
    <w:rPr>
      <w:rFonts w:eastAsiaTheme="minorEastAsia"/>
      <w:caps/>
      <w:sz w:val="40"/>
      <w:szCs w:val="22"/>
    </w:rPr>
  </w:style>
  <w:style w:type="character" w:customStyle="1" w:styleId="32">
    <w:name w:val="Heading 7 Char"/>
    <w:basedOn w:val="21"/>
    <w:link w:val="8"/>
    <w:semiHidden/>
    <w:uiPriority w:val="9"/>
    <w:rPr>
      <w:rFonts w:asciiTheme="majorHAnsi" w:hAnsiTheme="majorHAnsi" w:eastAsiaTheme="majorEastAsia" w:cstheme="majorBidi"/>
      <w:i/>
      <w:iCs/>
      <w:spacing w:val="14"/>
    </w:rPr>
  </w:style>
  <w:style w:type="character" w:customStyle="1" w:styleId="33">
    <w:name w:val="Heading 8 Char"/>
    <w:basedOn w:val="21"/>
    <w:link w:val="9"/>
    <w:semiHidden/>
    <w:uiPriority w:val="9"/>
    <w:rPr>
      <w:rFonts w:asciiTheme="majorHAnsi" w:hAnsiTheme="majorHAnsi" w:eastAsiaTheme="majorEastAsia" w:cstheme="majorBidi"/>
      <w:spacing w:val="14"/>
      <w:sz w:val="26"/>
      <w:szCs w:val="21"/>
    </w:rPr>
  </w:style>
  <w:style w:type="character" w:customStyle="1" w:styleId="34">
    <w:name w:val="Heading 9 Char"/>
    <w:basedOn w:val="21"/>
    <w:link w:val="10"/>
    <w:semiHidden/>
    <w:uiPriority w:val="9"/>
    <w:rPr>
      <w:rFonts w:asciiTheme="majorHAnsi" w:hAnsiTheme="majorHAnsi" w:eastAsiaTheme="majorEastAsia" w:cstheme="majorBidi"/>
      <w:i/>
      <w:iCs/>
      <w:spacing w:val="14"/>
      <w:sz w:val="26"/>
      <w:szCs w:val="21"/>
    </w:rPr>
  </w:style>
  <w:style w:type="character" w:customStyle="1" w:styleId="35">
    <w:name w:val="Subtle Emphasis"/>
    <w:basedOn w:val="21"/>
    <w:semiHidden/>
    <w:unhideWhenUsed/>
    <w:qFormat/>
    <w:uiPriority w:val="19"/>
    <w:rPr>
      <w:i/>
      <w:iCs/>
      <w:color w:val="0072C6" w:themeColor="accent1"/>
      <w14:textFill>
        <w14:solidFill>
          <w14:schemeClr w14:val="accent1"/>
        </w14:solidFill>
      </w14:textFill>
    </w:rPr>
  </w:style>
  <w:style w:type="character" w:customStyle="1" w:styleId="36">
    <w:name w:val="Intense Emphasis"/>
    <w:basedOn w:val="21"/>
    <w:semiHidden/>
    <w:unhideWhenUsed/>
    <w:qFormat/>
    <w:uiPriority w:val="21"/>
    <w:rPr>
      <w:b/>
      <w:i/>
      <w:iCs/>
      <w:color w:val="F98723" w:themeColor="accent2"/>
      <w14:textFill>
        <w14:solidFill>
          <w14:schemeClr w14:val="accent2"/>
        </w14:solidFill>
      </w14:textFill>
    </w:rPr>
  </w:style>
  <w:style w:type="character" w:customStyle="1" w:styleId="37">
    <w:name w:val="Subtle Reference"/>
    <w:basedOn w:val="21"/>
    <w:semiHidden/>
    <w:unhideWhenUsed/>
    <w:qFormat/>
    <w:uiPriority w:val="31"/>
    <w:rPr>
      <w:i/>
      <w:caps/>
      <w:color w:val="0072C6" w:themeColor="accent1"/>
      <w14:textFill>
        <w14:solidFill>
          <w14:schemeClr w14:val="accent1"/>
        </w14:solidFill>
      </w14:textFill>
    </w:rPr>
  </w:style>
  <w:style w:type="character" w:customStyle="1" w:styleId="38">
    <w:name w:val="Intense Reference"/>
    <w:basedOn w:val="21"/>
    <w:semiHidden/>
    <w:unhideWhenUsed/>
    <w:qFormat/>
    <w:uiPriority w:val="32"/>
    <w:rPr>
      <w:b/>
      <w:bCs/>
      <w:i/>
      <w:caps/>
      <w:color w:val="0072C6" w:themeColor="accent1"/>
      <w:spacing w:val="0"/>
      <w14:textFill>
        <w14:solidFill>
          <w14:schemeClr w14:val="accent1"/>
        </w14:solidFill>
      </w14:textFill>
    </w:rPr>
  </w:style>
  <w:style w:type="character" w:customStyle="1" w:styleId="39">
    <w:name w:val="Book Title"/>
    <w:basedOn w:val="21"/>
    <w:semiHidden/>
    <w:unhideWhenUsed/>
    <w:qFormat/>
    <w:uiPriority w:val="33"/>
    <w:rPr>
      <w:bCs/>
      <w:iCs/>
      <w:color w:val="0072C6" w:themeColor="accent1"/>
      <w:spacing w:val="0"/>
      <w:u w:val="single"/>
      <w14:textFill>
        <w14:solidFill>
          <w14:schemeClr w14:val="accent1"/>
        </w14:solidFill>
      </w14:textFill>
    </w:rPr>
  </w:style>
  <w:style w:type="paragraph" w:customStyle="1" w:styleId="40">
    <w:name w:val="TOC Heading"/>
    <w:basedOn w:val="2"/>
    <w:next w:val="1"/>
    <w:semiHidden/>
    <w:unhideWhenUsed/>
    <w:qFormat/>
    <w:uiPriority w:val="39"/>
    <w:pPr>
      <w:spacing w:after="0" w:line="360" w:lineRule="auto"/>
      <w:outlineLvl w:val="9"/>
    </w:pPr>
    <w:rPr>
      <w:sz w:val="84"/>
    </w:rPr>
  </w:style>
  <w:style w:type="character" w:styleId="41">
    <w:name w:val="Placeholder Text"/>
    <w:basedOn w:val="21"/>
    <w:semiHidden/>
    <w:uiPriority w:val="99"/>
    <w:rPr>
      <w:color w:val="808080"/>
    </w:rPr>
  </w:style>
  <w:style w:type="character" w:customStyle="1" w:styleId="42">
    <w:name w:val="Footer Char"/>
    <w:basedOn w:val="21"/>
    <w:link w:val="14"/>
    <w:uiPriority w:val="99"/>
    <w:rPr>
      <w:color w:val="FFFFFF" w:themeColor="background1"/>
      <w:shd w:val="clear" w:color="auto" w:fill="0072C6" w:themeFill="accent1"/>
      <w14:textFill>
        <w14:solidFill>
          <w14:schemeClr w14:val="bg1"/>
        </w14:solidFill>
      </w14:textFill>
    </w:rPr>
  </w:style>
  <w:style w:type="paragraph" w:styleId="43">
    <w:name w:val="Quote"/>
    <w:basedOn w:val="1"/>
    <w:next w:val="1"/>
    <w:link w:val="44"/>
    <w:unhideWhenUsed/>
    <w:qFormat/>
    <w:uiPriority w:val="29"/>
    <w:pPr>
      <w:spacing w:before="360" w:after="560" w:line="264" w:lineRule="auto"/>
      <w:ind w:left="605" w:right="605"/>
      <w:contextualSpacing/>
    </w:pPr>
    <w:rPr>
      <w:rFonts w:asciiTheme="majorHAnsi" w:hAnsiTheme="majorHAnsi"/>
      <w:i/>
      <w:iCs/>
      <w:color w:val="0072C6" w:themeColor="accent1"/>
      <w:sz w:val="40"/>
      <w14:textFill>
        <w14:solidFill>
          <w14:schemeClr w14:val="accent1"/>
        </w14:solidFill>
      </w14:textFill>
    </w:rPr>
  </w:style>
  <w:style w:type="character" w:customStyle="1" w:styleId="44">
    <w:name w:val="Quote Char"/>
    <w:basedOn w:val="21"/>
    <w:link w:val="43"/>
    <w:uiPriority w:val="29"/>
    <w:rPr>
      <w:rFonts w:asciiTheme="majorHAnsi" w:hAnsiTheme="majorHAnsi"/>
      <w:i/>
      <w:iCs/>
      <w:color w:val="0072C6" w:themeColor="accent1"/>
      <w:sz w:val="40"/>
      <w14:textFill>
        <w14:solidFill>
          <w14:schemeClr w14:val="accent1"/>
        </w14:solidFill>
      </w14:textFill>
    </w:rPr>
  </w:style>
  <w:style w:type="character" w:customStyle="1" w:styleId="45">
    <w:name w:val="Intense Quote Char"/>
    <w:basedOn w:val="21"/>
    <w:link w:val="29"/>
    <w:semiHidden/>
    <w:uiPriority w:val="30"/>
    <w:rPr>
      <w:rFonts w:asciiTheme="majorHAnsi" w:hAnsiTheme="majorHAnsi"/>
      <w:i/>
      <w:iCs/>
      <w:color w:val="F98723" w:themeColor="accent2"/>
      <w:sz w:val="32"/>
      <w14:textFill>
        <w14:solidFill>
          <w14:schemeClr w14:val="accent2"/>
        </w14:solidFill>
      </w14:textFill>
    </w:rPr>
  </w:style>
  <w:style w:type="character" w:customStyle="1" w:styleId="46">
    <w:name w:val="Heading 3 Char"/>
    <w:basedOn w:val="21"/>
    <w:link w:val="4"/>
    <w:uiPriority w:val="9"/>
    <w:rPr>
      <w:rFonts w:asciiTheme="majorHAnsi" w:hAnsiTheme="majorHAnsi" w:eastAsiaTheme="majorEastAsia" w:cstheme="majorBidi"/>
      <w:color w:val="0072C6" w:themeColor="accent1"/>
      <w:sz w:val="34"/>
      <w14:textFill>
        <w14:solidFill>
          <w14:schemeClr w14:val="accent1"/>
        </w14:solidFill>
      </w14:textFill>
    </w:rPr>
  </w:style>
  <w:style w:type="character" w:customStyle="1" w:styleId="47">
    <w:name w:val="Heading 6 Char"/>
    <w:basedOn w:val="21"/>
    <w:link w:val="7"/>
    <w:semiHidden/>
    <w:uiPriority w:val="9"/>
    <w:rPr>
      <w:rFonts w:asciiTheme="majorHAnsi" w:hAnsiTheme="majorHAnsi" w:eastAsiaTheme="majorEastAsia" w:cstheme="majorBidi"/>
      <w:color w:val="0072C6" w:themeColor="accent1"/>
      <w14:textFill>
        <w14:solidFill>
          <w14:schemeClr w14:val="accent1"/>
        </w14:solidFill>
      </w14:textFill>
    </w:rPr>
  </w:style>
  <w:style w:type="paragraph" w:customStyle="1" w:styleId="48">
    <w:name w:val="p1"/>
    <w:basedOn w:val="1"/>
    <w:uiPriority w:val="0"/>
    <w:pPr>
      <w:spacing w:before="100" w:beforeAutospacing="1" w:after="100" w:afterAutospacing="1" w:line="240" w:lineRule="auto"/>
    </w:pPr>
    <w:rPr>
      <w:rFonts w:ascii="Times New Roman" w:hAnsi="Times New Roman" w:eastAsia="Times New Roman" w:cs="Times New Roman"/>
      <w:color w:val="auto"/>
      <w:lang w:val="en-AU" w:eastAsia="zh-CN"/>
    </w:rPr>
  </w:style>
  <w:style w:type="character" w:customStyle="1" w:styleId="49">
    <w:name w:val="s1"/>
    <w:basedOn w:val="21"/>
    <w:uiPriority w:val="0"/>
  </w:style>
  <w:style w:type="paragraph" w:customStyle="1" w:styleId="50">
    <w:name w:val="p2"/>
    <w:basedOn w:val="1"/>
    <w:uiPriority w:val="0"/>
    <w:pPr>
      <w:spacing w:before="100" w:beforeAutospacing="1" w:after="100" w:afterAutospacing="1" w:line="240" w:lineRule="auto"/>
    </w:pPr>
    <w:rPr>
      <w:rFonts w:ascii="Times New Roman" w:hAnsi="Times New Roman" w:eastAsia="Times New Roman" w:cs="Times New Roman"/>
      <w:color w:val="auto"/>
      <w:lang w:val="en-AU" w:eastAsia="zh-CN"/>
    </w:rPr>
  </w:style>
  <w:style w:type="character" w:customStyle="1" w:styleId="51">
    <w:name w:val="s2"/>
    <w:basedOn w:val="21"/>
    <w:uiPriority w:val="0"/>
  </w:style>
  <w:style w:type="paragraph" w:customStyle="1" w:styleId="52">
    <w:name w:val="p3"/>
    <w:basedOn w:val="1"/>
    <w:uiPriority w:val="0"/>
    <w:pPr>
      <w:spacing w:before="100" w:beforeAutospacing="1" w:after="100" w:afterAutospacing="1" w:line="240" w:lineRule="auto"/>
    </w:pPr>
    <w:rPr>
      <w:rFonts w:ascii="Times New Roman" w:hAnsi="Times New Roman" w:eastAsia="Times New Roman" w:cs="Times New Roman"/>
      <w:color w:val="auto"/>
      <w:lang w:val="en-AU" w:eastAsia="zh-CN"/>
    </w:rPr>
  </w:style>
  <w:style w:type="paragraph" w:customStyle="1" w:styleId="53">
    <w:name w:val="p5"/>
    <w:basedOn w:val="1"/>
    <w:uiPriority w:val="0"/>
    <w:pPr>
      <w:spacing w:before="100" w:beforeAutospacing="1" w:after="100" w:afterAutospacing="1" w:line="240" w:lineRule="auto"/>
    </w:pPr>
    <w:rPr>
      <w:rFonts w:ascii="Times New Roman" w:hAnsi="Times New Roman" w:eastAsia="Times New Roman" w:cs="Times New Roman"/>
      <w:color w:val="auto"/>
      <w:lang w:val="en-AU" w:eastAsia="zh-CN"/>
    </w:rPr>
  </w:style>
  <w:style w:type="character" w:customStyle="1" w:styleId="54">
    <w:name w:val="s3"/>
    <w:basedOn w:val="21"/>
    <w:uiPriority w:val="0"/>
  </w:style>
  <w:style w:type="paragraph" w:customStyle="1" w:styleId="55">
    <w:name w:val="p4"/>
    <w:basedOn w:val="1"/>
    <w:uiPriority w:val="0"/>
    <w:pPr>
      <w:spacing w:before="100" w:beforeAutospacing="1" w:after="100" w:afterAutospacing="1" w:line="240" w:lineRule="auto"/>
    </w:pPr>
    <w:rPr>
      <w:rFonts w:ascii="Times New Roman" w:hAnsi="Times New Roman" w:eastAsia="Times New Roman" w:cs="Times New Roman"/>
      <w:color w:val="auto"/>
      <w:lang w:val="en-AU" w:eastAsia="zh-CN"/>
    </w:rPr>
  </w:style>
  <w:style w:type="character" w:customStyle="1" w:styleId="56">
    <w:name w:val="Heading 4 Char"/>
    <w:basedOn w:val="21"/>
    <w:link w:val="5"/>
    <w:semiHidden/>
    <w:uiPriority w:val="9"/>
    <w:rPr>
      <w:rFonts w:asciiTheme="majorHAnsi" w:hAnsiTheme="majorHAnsi" w:eastAsiaTheme="majorEastAsia" w:cstheme="majorBidi"/>
      <w:i/>
      <w:iCs/>
      <w:color w:val="005695" w:themeColor="accent1" w:themeShade="BF"/>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Users/mengzhang/Library/Containers/com.microsoft.Word/Data/Library/Application%20Support/Microsoft/Office/16.0/DTS/en-AU%7b75601B43-E818-9547-B53B-A459B173F47D%7d/%7b2BC845BD-0E8E-3F45-8CF0-C6FA1565DE76%7dtf10002076.dotx" TargetMode="External"/></Relationships>
</file>

<file path=word/theme/theme1.xml><?xml version="1.0" encoding="utf-8"?>
<a:theme xmlns:a="http://schemas.openxmlformats.org/drawingml/2006/main" name="Office Theme">
  <a:themeElements>
    <a:clrScheme name="Business">
      <a:dk1>
        <a:sysClr val="windowText" lastClr="000000"/>
      </a:dk1>
      <a:lt1>
        <a:sysClr val="window" lastClr="FFFFFF"/>
      </a:lt1>
      <a:dk2>
        <a:srgbClr val="0C1227"/>
      </a:dk2>
      <a:lt2>
        <a:srgbClr val="FDF9F7"/>
      </a:lt2>
      <a:accent1>
        <a:srgbClr val="0072C6"/>
      </a:accent1>
      <a:accent2>
        <a:srgbClr val="F98723"/>
      </a:accent2>
      <a:accent3>
        <a:srgbClr val="DC3C00"/>
      </a:accent3>
      <a:accent4>
        <a:srgbClr val="F9CB23"/>
      </a:accent4>
      <a:accent5>
        <a:srgbClr val="009E49"/>
      </a:accent5>
      <a:accent6>
        <a:srgbClr val="79498B"/>
      </a:accent6>
      <a:hlink>
        <a:srgbClr val="0072C6"/>
      </a:hlink>
      <a:folHlink>
        <a:srgbClr val="79498B"/>
      </a:folHlink>
    </a:clrScheme>
    <a:fontScheme name="Georgia-Arial">
      <a:majorFont>
        <a:latin typeface="Georgia"/>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Business Paper.dotx</Template>
  <Pages>16</Pages>
  <Words>1341</Words>
  <Characters>8506</Characters>
  <Lines>70</Lines>
  <Paragraphs>19</Paragraphs>
  <TotalTime>6</TotalTime>
  <ScaleCrop>false</ScaleCrop>
  <LinksUpToDate>false</LinksUpToDate>
  <CharactersWithSpaces>9640</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2026-01-15T04:40:00Z</dcterms:created>
  <dc:creator>Meng Zhang</dc:creator>
  <cp:lastModifiedBy>萌张</cp:lastModifiedBy>
  <cp:lastPrinted>2026-01-15T05:36:00Z</cp:lastPrinted>
  <dcterms:modified xsi:type="dcterms:W3CDTF">2026-01-27T11:19:48Z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TF10002024</vt:lpwstr>
  </property>
  <property fmtid="{D5CDD505-2E9C-101B-9397-08002B2CF9AE}" pid="3" name="KSOProductBuildVer">
    <vt:lpwstr>2052-12.1.23152.23152</vt:lpwstr>
  </property>
  <property fmtid="{D5CDD505-2E9C-101B-9397-08002B2CF9AE}" pid="4" name="ICV">
    <vt:lpwstr>48902F74DD53DB6956336B699934C792_42</vt:lpwstr>
  </property>
</Properties>
</file>