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B1632">
      <w:pPr>
        <w:pStyle w:val="3"/>
        <w:jc w:val="center"/>
      </w:pPr>
      <w:r>
        <w:t>ELECTRICAL ASSET RISK &amp; FINANCIAL FORECAST</w:t>
      </w:r>
    </w:p>
    <w:p w14:paraId="3EEDD945">
      <w:pPr>
        <w:jc w:val="center"/>
      </w:pPr>
      <w:r>
        <w:t>Independent Risk Mitigation and Capital Expenditure (CapEx) Strategy for Residential Property Investors</w:t>
      </w:r>
    </w:p>
    <w:p w14:paraId="7FA4F1BF">
      <w:r>
        <w:t xml:space="preserve"> </w:t>
      </w:r>
    </w:p>
    <w:p w14:paraId="5D54DCF1"/>
    <w:p w14:paraId="3AD679B7"/>
    <w:p w14:paraId="6960A2D0"/>
    <w:p w14:paraId="54D92BF8"/>
    <w:p w14:paraId="1FDAF207"/>
    <w:p w14:paraId="0F6157D7"/>
    <w:p w14:paraId="4DD2C1CC"/>
    <w:p w14:paraId="0419FA65"/>
    <w:p w14:paraId="371EFDAA"/>
    <w:p w14:paraId="17CA20E3"/>
    <w:p w14:paraId="17E612E7"/>
    <w:p w14:paraId="71F1DB6F"/>
    <w:p w14:paraId="46105F16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2C1808">
        <w:tc>
          <w:tcPr>
            <w:tcW w:w="4320" w:type="dxa"/>
            <w:vAlign w:val="center"/>
          </w:tcPr>
          <w:p w14:paraId="4CFB0917">
            <w:pPr>
              <w:spacing w:after="0" w:line="240" w:lineRule="auto"/>
            </w:pPr>
            <w:r>
              <w:rPr>
                <w:b/>
              </w:rPr>
              <w:t>Property address</w:t>
            </w:r>
          </w:p>
        </w:tc>
        <w:tc>
          <w:tcPr>
            <w:tcW w:w="4320" w:type="dxa"/>
            <w:vAlign w:val="center"/>
          </w:tcPr>
          <w:p w14:paraId="214FD3CD">
            <w:pPr>
              <w:spacing w:after="0" w:line="240" w:lineRule="auto"/>
            </w:pPr>
            <w:r>
              <w:t>{{PROPERTY_ADDRESS}}</w:t>
            </w:r>
          </w:p>
        </w:tc>
      </w:tr>
      <w:tr w14:paraId="31DD6E2B">
        <w:tc>
          <w:tcPr>
            <w:tcW w:w="4320" w:type="dxa"/>
            <w:vAlign w:val="center"/>
          </w:tcPr>
          <w:p w14:paraId="2900CFF0">
            <w:pPr>
              <w:spacing w:after="0" w:line="240" w:lineRule="auto"/>
            </w:pPr>
            <w:r>
              <w:rPr>
                <w:b/>
              </w:rPr>
              <w:t>Prepared for</w:t>
            </w:r>
          </w:p>
        </w:tc>
        <w:tc>
          <w:tcPr>
            <w:tcW w:w="4320" w:type="dxa"/>
            <w:vAlign w:val="center"/>
          </w:tcPr>
          <w:p w14:paraId="08ABCA44">
            <w:pPr>
              <w:spacing w:after="0" w:line="240" w:lineRule="auto"/>
            </w:pPr>
            <w:r>
              <w:t>{{CLIENT_NAME}}</w:t>
            </w:r>
          </w:p>
        </w:tc>
      </w:tr>
      <w:tr w14:paraId="0585285A">
        <w:tc>
          <w:tcPr>
            <w:tcW w:w="4320" w:type="dxa"/>
            <w:vAlign w:val="center"/>
          </w:tcPr>
          <w:p w14:paraId="0B8E0BE2">
            <w:pPr>
              <w:spacing w:after="0" w:line="240" w:lineRule="auto"/>
            </w:pPr>
            <w:r>
              <w:rPr>
                <w:b/>
              </w:rPr>
              <w:t>Assessment date</w:t>
            </w:r>
          </w:p>
        </w:tc>
        <w:tc>
          <w:tcPr>
            <w:tcW w:w="4320" w:type="dxa"/>
            <w:vAlign w:val="center"/>
          </w:tcPr>
          <w:p w14:paraId="79F6A147">
            <w:pPr>
              <w:spacing w:after="0" w:line="240" w:lineRule="auto"/>
            </w:pPr>
            <w:r>
              <w:t>{{ASSESSMENT_DATE}}</w:t>
            </w:r>
          </w:p>
        </w:tc>
      </w:tr>
      <w:tr w14:paraId="64B52AFA">
        <w:tc>
          <w:tcPr>
            <w:tcW w:w="4320" w:type="dxa"/>
            <w:vAlign w:val="center"/>
          </w:tcPr>
          <w:p w14:paraId="0E898F85">
            <w:pPr>
              <w:spacing w:after="0" w:line="240" w:lineRule="auto"/>
            </w:pPr>
            <w:r>
              <w:rPr>
                <w:b/>
              </w:rPr>
              <w:t>Report reference</w:t>
            </w:r>
          </w:p>
        </w:tc>
        <w:tc>
          <w:tcPr>
            <w:tcW w:w="4320" w:type="dxa"/>
            <w:vAlign w:val="center"/>
          </w:tcPr>
          <w:p w14:paraId="0AD88F66">
            <w:pPr>
              <w:spacing w:after="0" w:line="240" w:lineRule="auto"/>
            </w:pPr>
            <w:r>
              <w:t>{{REPORT_ID}}</w:t>
            </w:r>
          </w:p>
        </w:tc>
      </w:tr>
      <w:tr w14:paraId="0252CECE">
        <w:tc>
          <w:tcPr>
            <w:tcW w:w="4320" w:type="dxa"/>
            <w:vAlign w:val="center"/>
          </w:tcPr>
          <w:p w14:paraId="6662CCE8">
            <w:pPr>
              <w:spacing w:after="0" w:line="240" w:lineRule="auto"/>
            </w:pPr>
            <w:r>
              <w:rPr>
                <w:b/>
              </w:rPr>
              <w:t>Prepared by</w:t>
            </w:r>
          </w:p>
        </w:tc>
        <w:tc>
          <w:tcPr>
            <w:tcW w:w="4320" w:type="dxa"/>
            <w:vAlign w:val="center"/>
          </w:tcPr>
          <w:p w14:paraId="3086BD43">
            <w:pPr>
              <w:spacing w:after="0" w:line="240" w:lineRule="auto"/>
            </w:pPr>
            <w:r>
              <w:t>Better Home Technology Pty Ltd</w:t>
            </w:r>
          </w:p>
        </w:tc>
      </w:tr>
    </w:tbl>
    <w:p w14:paraId="59A860E6">
      <w:pPr>
        <w:jc w:val="center"/>
      </w:pPr>
      <w:r>
        <w:rPr>
          <w:i/>
        </w:rPr>
        <w:t>100% Independent – No Conflict of Interest</w:t>
      </w:r>
    </w:p>
    <w:p w14:paraId="6C7CF883">
      <w:r>
        <w:t xml:space="preserve"> </w:t>
      </w:r>
    </w:p>
    <w:p w14:paraId="4941D187">
      <w:pPr>
        <w:jc w:val="center"/>
      </w:pPr>
      <w:r>
        <w:t xml:space="preserve">This report is </w:t>
      </w:r>
      <w:r>
        <w:rPr>
          <w:lang w:val="en-US"/>
        </w:rPr>
        <w:t xml:space="preserve">decision </w:t>
      </w:r>
      <w:r>
        <w:t xml:space="preserve">support only. </w:t>
      </w:r>
    </w:p>
    <w:p w14:paraId="68B69257">
      <w:pPr>
        <w:jc w:val="center"/>
      </w:pPr>
      <w:r>
        <w:t>It is not a repair quote and does not include rectification works.</w:t>
      </w:r>
    </w:p>
    <w:p w14:paraId="1AE25168">
      <w:r>
        <w:br w:type="page"/>
      </w:r>
    </w:p>
    <w:p w14:paraId="6D64FE72">
      <w:pPr>
        <w:pStyle w:val="3"/>
        <w:jc w:val="center"/>
      </w:pPr>
    </w:p>
    <w:p w14:paraId="0EE5D594">
      <w:pPr>
        <w:pStyle w:val="3"/>
        <w:jc w:val="center"/>
      </w:pPr>
    </w:p>
    <w:p w14:paraId="13C38123">
      <w:pPr>
        <w:pStyle w:val="3"/>
        <w:jc w:val="center"/>
      </w:pPr>
      <w:r>
        <w:t>Contents</w:t>
      </w:r>
    </w:p>
    <w:p w14:paraId="64B25F95"/>
    <w:p w14:paraId="62527F7C">
      <w:pPr>
        <w:pStyle w:val="14"/>
        <w:spacing w:line="600" w:lineRule="auto"/>
        <w:ind w:left="2460" w:leftChars="0"/>
        <w:jc w:val="both"/>
      </w:pPr>
      <w:r>
        <w:t>How to read this report</w:t>
      </w:r>
    </w:p>
    <w:p w14:paraId="72F5408B">
      <w:pPr>
        <w:pStyle w:val="14"/>
        <w:spacing w:line="600" w:lineRule="auto"/>
        <w:ind w:left="2460" w:leftChars="0"/>
        <w:jc w:val="both"/>
      </w:pPr>
      <w:r>
        <w:t>Executive decision summary</w:t>
      </w:r>
    </w:p>
    <w:p w14:paraId="605718AE">
      <w:pPr>
        <w:pStyle w:val="14"/>
        <w:spacing w:line="600" w:lineRule="auto"/>
        <w:ind w:left="2460" w:leftChars="0"/>
        <w:jc w:val="both"/>
      </w:pPr>
      <w:r>
        <w:t>What this means for you</w:t>
      </w:r>
    </w:p>
    <w:p w14:paraId="41123775">
      <w:pPr>
        <w:pStyle w:val="14"/>
        <w:spacing w:line="600" w:lineRule="auto"/>
        <w:ind w:left="2460" w:leftChars="0"/>
        <w:jc w:val="both"/>
      </w:pPr>
      <w:r>
        <w:t>Scope and independence statement</w:t>
      </w:r>
    </w:p>
    <w:p w14:paraId="5D6981BC">
      <w:pPr>
        <w:pStyle w:val="14"/>
        <w:spacing w:line="600" w:lineRule="auto"/>
        <w:ind w:left="2460" w:leftChars="0"/>
        <w:jc w:val="both"/>
      </w:pPr>
      <w:r>
        <w:t>Methodology overview</w:t>
      </w:r>
    </w:p>
    <w:p w14:paraId="4DED1E4E">
      <w:pPr>
        <w:pStyle w:val="14"/>
        <w:spacing w:line="600" w:lineRule="auto"/>
        <w:ind w:left="2460" w:leftChars="0"/>
        <w:jc w:val="both"/>
      </w:pPr>
      <w:r>
        <w:t>Observations and evidence</w:t>
      </w:r>
    </w:p>
    <w:p w14:paraId="24EEDB80">
      <w:pPr>
        <w:pStyle w:val="14"/>
        <w:spacing w:line="600" w:lineRule="auto"/>
        <w:ind w:left="2460" w:leftChars="0"/>
        <w:jc w:val="both"/>
      </w:pPr>
      <w:r>
        <w:t>Risk prioritisation framework</w:t>
      </w:r>
    </w:p>
    <w:p w14:paraId="37D6C0B3">
      <w:pPr>
        <w:pStyle w:val="14"/>
        <w:spacing w:line="600" w:lineRule="auto"/>
        <w:ind w:left="2460" w:leftChars="0"/>
        <w:jc w:val="both"/>
      </w:pPr>
      <w:r>
        <w:rPr>
          <w:rFonts w:hint="default"/>
          <w:lang w:val="en-US"/>
        </w:rPr>
        <w:t>Five</w:t>
      </w:r>
      <w:bookmarkStart w:id="0" w:name="_GoBack"/>
      <w:bookmarkEnd w:id="0"/>
      <w:r>
        <w:t>-year CapEx roadmap (budget plan)</w:t>
      </w:r>
    </w:p>
    <w:p w14:paraId="2BFB3EA4">
      <w:pPr>
        <w:pStyle w:val="14"/>
        <w:spacing w:line="600" w:lineRule="auto"/>
        <w:ind w:left="2460" w:leftChars="0"/>
        <w:jc w:val="both"/>
      </w:pPr>
      <w:r>
        <w:t>Owner decision pathways</w:t>
      </w:r>
    </w:p>
    <w:p w14:paraId="788F1B58">
      <w:pPr>
        <w:pStyle w:val="14"/>
        <w:spacing w:line="600" w:lineRule="auto"/>
        <w:ind w:left="2460" w:leftChars="0"/>
        <w:jc w:val="both"/>
      </w:pPr>
      <w:r>
        <w:t>Terms, limitations and legal framework</w:t>
      </w:r>
    </w:p>
    <w:p w14:paraId="1D4F4593">
      <w:pPr>
        <w:pStyle w:val="14"/>
        <w:spacing w:line="600" w:lineRule="auto"/>
        <w:ind w:left="2460" w:leftChars="0"/>
        <w:jc w:val="both"/>
      </w:pPr>
      <w:r>
        <w:t>Appendix (photos and test notes)</w:t>
      </w:r>
    </w:p>
    <w:p w14:paraId="351BE03B">
      <w:pPr>
        <w:pStyle w:val="14"/>
        <w:spacing w:line="600" w:lineRule="auto"/>
        <w:ind w:left="2460" w:leftChars="0"/>
        <w:jc w:val="both"/>
      </w:pPr>
      <w:r>
        <w:rPr>
          <w:rFonts w:hint="default"/>
          <w:lang w:val="en-US"/>
        </w:rPr>
        <w:t>Closing Statement</w:t>
      </w:r>
    </w:p>
    <w:p w14:paraId="3D8052CA">
      <w:r>
        <w:br w:type="page"/>
      </w:r>
    </w:p>
    <w:p w14:paraId="6F14AC19">
      <w:pPr>
        <w:pStyle w:val="3"/>
        <w:keepNext/>
      </w:pPr>
      <w:r>
        <w:t>1. How to read this report</w:t>
      </w:r>
    </w:p>
    <w:p w14:paraId="3D6F8012">
      <w:r>
        <w:t>This report is designed to help you make electrical decisions with clarity and confidence. It separates (a) what was observed, (b) what it means from a risk perspective, and (c) what to plan for financially.</w:t>
      </w:r>
    </w:p>
    <w:p w14:paraId="19582CDB">
      <w:r>
        <w:t>In practice, most owners should:</w:t>
      </w:r>
    </w:p>
    <w:p w14:paraId="01B8D7B7">
      <w:pPr>
        <w:pStyle w:val="16"/>
        <w:keepLines/>
      </w:pPr>
      <w:r>
        <w:t>Read Section 2–3 first (Executive decision summary + What this means).</w:t>
      </w:r>
    </w:p>
    <w:p w14:paraId="18211BB4">
      <w:pPr>
        <w:pStyle w:val="16"/>
        <w:keepLines/>
      </w:pPr>
      <w:r>
        <w:t>Use the 5-year CapEx roadmap to set a realistic budget provision for the next 0–5 years.</w:t>
      </w:r>
    </w:p>
    <w:p w14:paraId="46C73DA2">
      <w:pPr>
        <w:pStyle w:val="16"/>
        <w:keepLines/>
      </w:pPr>
      <w:r>
        <w:t>Refer to the Evidence section only if you want the underlying observations, photos, and test notes.</w:t>
      </w:r>
    </w:p>
    <w:p w14:paraId="02A75D95">
      <w:r>
        <w:br w:type="page"/>
      </w:r>
    </w:p>
    <w:p w14:paraId="2CC59137">
      <w:pPr>
        <w:pStyle w:val="3"/>
        <w:keepNext/>
      </w:pPr>
      <w:r>
        <w:t>2. Executive decision summary</w:t>
      </w:r>
    </w:p>
    <w:p w14:paraId="533A4E1E">
      <w:pPr>
        <w:pStyle w:val="4"/>
        <w:keepNext/>
      </w:pPr>
      <w:r>
        <w:t>Overall risk position</w:t>
      </w:r>
    </w:p>
    <w:p w14:paraId="64EC67A2">
      <w:r>
        <w:t xml:space="preserve">Overall electrical risk profile: </w:t>
      </w:r>
      <w:r>
        <w:rPr>
          <w:b/>
          <w:i w:val="0"/>
        </w:rPr>
        <w:t>{{OVERALL_RISK_LABEL}}</w:t>
      </w:r>
      <w:r>
        <w:t>.</w:t>
      </w:r>
    </w:p>
    <w:p w14:paraId="3458ADC3">
      <w:r>
        <w:rPr>
          <w:b w:val="0"/>
          <w:i w:val="0"/>
        </w:rPr>
        <w:t>{{EXECUTIVE_SUMMARY_PARAGRAPH}}</w:t>
      </w:r>
    </w:p>
    <w:p w14:paraId="46CA0E04">
      <w:pPr>
        <w:pStyle w:val="4"/>
        <w:keepNext/>
      </w:pPr>
      <w:r>
        <w:t>Priority snapshot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1A6B90">
        <w:tc>
          <w:tcPr>
            <w:tcW w:w="2880" w:type="dxa"/>
          </w:tcPr>
          <w:p w14:paraId="610B8C9D">
            <w:r>
              <w:t>Priority</w:t>
            </w:r>
          </w:p>
        </w:tc>
        <w:tc>
          <w:tcPr>
            <w:tcW w:w="2880" w:type="dxa"/>
          </w:tcPr>
          <w:p w14:paraId="58F012EB">
            <w:r>
              <w:t>Meaning</w:t>
            </w:r>
          </w:p>
        </w:tc>
        <w:tc>
          <w:tcPr>
            <w:tcW w:w="2880" w:type="dxa"/>
          </w:tcPr>
          <w:p w14:paraId="724CBB6D">
            <w:r>
              <w:t>Investor interpretation</w:t>
            </w:r>
          </w:p>
        </w:tc>
      </w:tr>
      <w:tr w14:paraId="2411CE6E">
        <w:tc>
          <w:tcPr>
            <w:tcW w:w="2880" w:type="dxa"/>
          </w:tcPr>
          <w:p w14:paraId="7E99068B">
            <w:r>
              <w:t>Urgent liability risk</w:t>
            </w:r>
          </w:p>
        </w:tc>
        <w:tc>
          <w:tcPr>
            <w:tcW w:w="2880" w:type="dxa"/>
          </w:tcPr>
          <w:p w14:paraId="0E9373DF">
            <w:r>
              <w:t>Immediate action required to reduce safety/legal exposure.</w:t>
            </w:r>
          </w:p>
        </w:tc>
        <w:tc>
          <w:tcPr>
            <w:tcW w:w="2880" w:type="dxa"/>
          </w:tcPr>
          <w:p w14:paraId="50909DD3">
            <w:r>
              <w:t>Do not defer. Treat as time-critical risk control.</w:t>
            </w:r>
          </w:p>
        </w:tc>
      </w:tr>
      <w:tr w14:paraId="12AE6312">
        <w:tc>
          <w:tcPr>
            <w:tcW w:w="2880" w:type="dxa"/>
          </w:tcPr>
          <w:p w14:paraId="35C3BCD3">
            <w:r>
              <w:t>Budgetary provision recommended</w:t>
            </w:r>
          </w:p>
        </w:tc>
        <w:tc>
          <w:tcPr>
            <w:tcW w:w="2880" w:type="dxa"/>
          </w:tcPr>
          <w:p w14:paraId="2D4C1E96">
            <w:r>
              <w:t>No active fault detected, but upgrade is advisable within an asset cycle.</w:t>
            </w:r>
          </w:p>
        </w:tc>
        <w:tc>
          <w:tcPr>
            <w:tcW w:w="2880" w:type="dxa"/>
          </w:tcPr>
          <w:p w14:paraId="78DF8A21">
            <w:r>
              <w:t>Plan into CapEx and schedule within the stated window.</w:t>
            </w:r>
          </w:p>
        </w:tc>
      </w:tr>
      <w:tr w14:paraId="49EAE002">
        <w:tc>
          <w:tcPr>
            <w:tcW w:w="2880" w:type="dxa"/>
          </w:tcPr>
          <w:p w14:paraId="47764B36">
            <w:r>
              <w:t>Monitor / Acceptable</w:t>
            </w:r>
          </w:p>
        </w:tc>
        <w:tc>
          <w:tcPr>
            <w:tcW w:w="2880" w:type="dxa"/>
          </w:tcPr>
          <w:p w14:paraId="0F2CC3AC">
            <w:r>
              <w:t>No action required at this stage; revisit at next review or renovation.</w:t>
            </w:r>
          </w:p>
        </w:tc>
        <w:tc>
          <w:tcPr>
            <w:tcW w:w="2880" w:type="dxa"/>
          </w:tcPr>
          <w:p w14:paraId="17984188">
            <w:r>
              <w:t>Keep on watchlist; avoid unnecessary spend now.</w:t>
            </w:r>
          </w:p>
        </w:tc>
      </w:tr>
    </w:tbl>
    <w:p w14:paraId="6B58092A">
      <w:pPr>
        <w:pStyle w:val="4"/>
        <w:keepNext/>
      </w:pPr>
      <w:r>
        <w:t>Total estimated CapEx provision (0–5 years)</w:t>
      </w:r>
    </w:p>
    <w:p w14:paraId="52527695">
      <w:r>
        <w:t xml:space="preserve">AUD </w:t>
      </w:r>
      <w:r>
        <w:rPr>
          <w:b/>
          <w:i w:val="0"/>
        </w:rPr>
        <w:t>{{CAPEX_RANGE}}</w:t>
      </w:r>
      <w:r>
        <w:t xml:space="preserve"> (budgetary provision recommended).</w:t>
      </w:r>
    </w:p>
    <w:p w14:paraId="142EC8E9">
      <w:r>
        <w:rPr>
          <w:b w:val="0"/>
          <w:i w:val="0"/>
        </w:rPr>
        <w:t>{{CAPEX_NOTE}}</w:t>
      </w:r>
    </w:p>
    <w:p w14:paraId="1B4E4C29">
      <w:r>
        <w:br w:type="page"/>
      </w:r>
    </w:p>
    <w:p w14:paraId="79752F52">
      <w:pPr>
        <w:pStyle w:val="3"/>
        <w:keepNext/>
      </w:pPr>
      <w:r>
        <w:t>3. What this means for you</w:t>
      </w:r>
    </w:p>
    <w:p w14:paraId="7717B1D1">
      <w:pPr>
        <w:pStyle w:val="4"/>
        <w:keepNext/>
      </w:pPr>
      <w:r>
        <w:t>What requires action now</w:t>
      </w:r>
    </w:p>
    <w:p w14:paraId="477449BF">
      <w:r>
        <w:rPr>
          <w:b w:val="0"/>
          <w:i w:val="0"/>
        </w:rPr>
        <w:t>{{ACTION_NOW_SUMMARY}}</w:t>
      </w:r>
    </w:p>
    <w:p w14:paraId="23F54CBA">
      <w:pPr>
        <w:pStyle w:val="4"/>
        <w:keepNext/>
      </w:pPr>
      <w:r>
        <w:t>What should be planned (to avoid future disruption)</w:t>
      </w:r>
    </w:p>
    <w:p w14:paraId="673C9795">
      <w:r>
        <w:rPr>
          <w:b w:val="0"/>
          <w:i w:val="0"/>
        </w:rPr>
        <w:t>{{PLANNED_WORK_SUMMARY}}</w:t>
      </w:r>
    </w:p>
    <w:p w14:paraId="3A92D87B">
      <w:pPr>
        <w:pStyle w:val="4"/>
        <w:keepNext/>
      </w:pPr>
      <w:r>
        <w:t>What can wait (monitor)</w:t>
      </w:r>
    </w:p>
    <w:p w14:paraId="161EE620">
      <w:r>
        <w:rPr>
          <w:b w:val="0"/>
          <w:i w:val="0"/>
        </w:rPr>
        <w:t>{{MONITOR_ITEMS_SUMMARY}}</w:t>
      </w:r>
    </w:p>
    <w:p w14:paraId="68D59E64">
      <w:pPr>
        <w:pStyle w:val="4"/>
        <w:keepNext/>
      </w:pPr>
      <w:r>
        <w:t>Decision confidence statement</w:t>
      </w:r>
    </w:p>
    <w:p w14:paraId="7AC9A888">
      <w:r>
        <w:rPr>
          <w:b w:val="0"/>
          <w:i w:val="0"/>
        </w:rPr>
        <w:t>{{DECISION_CONFIDENCE_STATEMENT}}</w:t>
      </w:r>
    </w:p>
    <w:p w14:paraId="09AB743A">
      <w:r>
        <w:br w:type="page"/>
      </w:r>
    </w:p>
    <w:p w14:paraId="62A83F7C">
      <w:pPr>
        <w:pStyle w:val="3"/>
        <w:keepNext/>
      </w:pPr>
      <w:r>
        <w:t>4. Scope and independence statement</w:t>
      </w:r>
    </w:p>
    <w:p w14:paraId="1B37FB67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Scope of Assessment</w:t>
      </w:r>
    </w:p>
    <w:p w14:paraId="39241FA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 xml:space="preserve">This assessment is a </w:t>
      </w:r>
      <w:r>
        <w:rPr>
          <w:b/>
          <w:bCs/>
          <w:sz w:val="24"/>
          <w:szCs w:val="24"/>
        </w:rPr>
        <w:t>non-invasive, point-in-time review</w:t>
      </w:r>
      <w:r>
        <w:rPr>
          <w:sz w:val="24"/>
          <w:szCs w:val="24"/>
        </w:rPr>
        <w:t xml:space="preserve"> limited strictly to </w:t>
      </w:r>
      <w:r>
        <w:rPr>
          <w:b/>
          <w:bCs/>
          <w:sz w:val="24"/>
          <w:szCs w:val="24"/>
        </w:rPr>
        <w:t>accessible electrical components and areas</w:t>
      </w:r>
      <w:r>
        <w:rPr>
          <w:sz w:val="24"/>
          <w:szCs w:val="24"/>
        </w:rPr>
        <w:t xml:space="preserve"> at the time of inspection.</w:t>
      </w:r>
    </w:p>
    <w:p w14:paraId="5D7760E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>The scope includes:</w:t>
      </w:r>
    </w:p>
    <w:p w14:paraId="54A14101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Visual assessment of accessible electrical installations</w:t>
      </w:r>
    </w:p>
    <w:p w14:paraId="06780F97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Functional verification using standard electrical test instruments</w:t>
      </w:r>
    </w:p>
    <w:p w14:paraId="64267C31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Review of visible compliance and safety indicators</w:t>
      </w:r>
    </w:p>
    <w:p w14:paraId="26B82AE9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>The scope excludes:</w:t>
      </w:r>
    </w:p>
    <w:p w14:paraId="0B299857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Destructive or invasive testing</w:t>
      </w:r>
    </w:p>
    <w:p w14:paraId="24F7EBF1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Concealed wiring, structural cavities, or non-accessible areas</w:t>
      </w:r>
    </w:p>
    <w:p w14:paraId="471CB252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Non-electrical systems or building elements</w:t>
      </w:r>
    </w:p>
    <w:p w14:paraId="5C28D12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 xml:space="preserve">This report reflects conditions observed </w:t>
      </w:r>
      <w:r>
        <w:rPr>
          <w:b/>
          <w:bCs/>
          <w:sz w:val="24"/>
          <w:szCs w:val="24"/>
        </w:rPr>
        <w:t>on the day of assessment only</w:t>
      </w:r>
      <w:r>
        <w:rPr>
          <w:sz w:val="24"/>
          <w:szCs w:val="24"/>
        </w:rPr>
        <w:t>.</w:t>
      </w:r>
    </w:p>
    <w:p w14:paraId="45A141A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CC300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Independence &amp; Conflict of Interest Declaration</w:t>
      </w:r>
    </w:p>
    <w:p w14:paraId="10B783C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 xml:space="preserve">This assessment is conducted on a </w:t>
      </w:r>
      <w:r>
        <w:rPr>
          <w:b/>
          <w:bCs/>
          <w:sz w:val="24"/>
          <w:szCs w:val="24"/>
        </w:rPr>
        <w:t>100% independent basis</w:t>
      </w:r>
      <w:r>
        <w:rPr>
          <w:sz w:val="24"/>
          <w:szCs w:val="24"/>
        </w:rPr>
        <w:t>.</w:t>
      </w:r>
    </w:p>
    <w:p w14:paraId="74FECBE7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No repair, upgrade, or rectification services are offered or performed</w:t>
      </w:r>
    </w:p>
    <w:p w14:paraId="6E81B73F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No financial interest exists in any recommended works</w:t>
      </w:r>
    </w:p>
    <w:p w14:paraId="4DB87057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All findings and budgetary provisions are provided solely for decision-support purposes</w:t>
      </w:r>
    </w:p>
    <w:p w14:paraId="2087CA36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>This independence ensures that:</w:t>
      </w:r>
    </w:p>
    <w:p w14:paraId="484AE833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Risk ratings are not influenced by potential repair revenue</w:t>
      </w:r>
    </w:p>
    <w:p w14:paraId="7A5BFDC7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Budgetary estimates are provided to support planning, not sales</w:t>
      </w:r>
    </w:p>
    <w:p w14:paraId="42933E9C">
      <w:pPr>
        <w:pStyle w:val="16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The report may be relied upon as neutral technical advice when engaging third-party contractors or advisors</w:t>
      </w:r>
    </w:p>
    <w:p w14:paraId="2F0DF976">
      <w:r>
        <w:br w:type="page"/>
      </w:r>
    </w:p>
    <w:p w14:paraId="05424FFB">
      <w:pPr>
        <w:pStyle w:val="3"/>
        <w:keepNext/>
      </w:pPr>
      <w:r>
        <w:t>5. Methodology overview</w:t>
      </w:r>
    </w:p>
    <w:p w14:paraId="20329EE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assessment follows a </w:t>
      </w:r>
      <w:r>
        <w:rPr>
          <w:b/>
          <w:bCs/>
        </w:rPr>
        <w:t>structured risk-identification methodology</w:t>
      </w:r>
      <w:r>
        <w:t xml:space="preserve">, designed to support </w:t>
      </w:r>
      <w:r>
        <w:rPr>
          <w:b/>
          <w:bCs/>
        </w:rPr>
        <w:t>informed decision-making rather than fault-finding</w:t>
      </w:r>
      <w:r>
        <w:t>.</w:t>
      </w:r>
    </w:p>
    <w:p w14:paraId="193C8B04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F1BA03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methodology is based on:</w:t>
      </w:r>
    </w:p>
    <w:p w14:paraId="181291F0">
      <w:pPr>
        <w:pStyle w:val="16"/>
        <w:bidi w:val="0"/>
        <w:ind w:left="360" w:leftChars="0" w:hanging="360" w:firstLineChars="0"/>
      </w:pPr>
      <w:r>
        <w:t>Visual inspection of accessible electrical assets</w:t>
      </w:r>
    </w:p>
    <w:p w14:paraId="527CB7CD">
      <w:pPr>
        <w:pStyle w:val="16"/>
        <w:bidi w:val="0"/>
        <w:ind w:left="360" w:leftChars="0" w:hanging="360" w:firstLineChars="0"/>
      </w:pPr>
      <w:r>
        <w:t>Limited electrical testing appropriate to a non-invasive review</w:t>
      </w:r>
    </w:p>
    <w:p w14:paraId="262FCB3F">
      <w:pPr>
        <w:pStyle w:val="16"/>
        <w:bidi w:val="0"/>
        <w:ind w:left="360" w:leftChars="0" w:hanging="360" w:firstLineChars="0"/>
      </w:pPr>
      <w:r>
        <w:t>Professional judgment informed by industry standards and field experience</w:t>
      </w:r>
    </w:p>
    <w:p w14:paraId="2E535D9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C02748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Findings are evaluated using a </w:t>
      </w:r>
      <w:r>
        <w:rPr>
          <w:b/>
          <w:bCs/>
        </w:rPr>
        <w:t>risk-based framework</w:t>
      </w:r>
      <w:r>
        <w:t>, considering:</w:t>
      </w:r>
    </w:p>
    <w:p w14:paraId="0EEACB30">
      <w:pPr>
        <w:pStyle w:val="16"/>
        <w:bidi w:val="0"/>
        <w:ind w:left="360" w:leftChars="0" w:hanging="360" w:firstLineChars="0"/>
      </w:pPr>
      <w:r>
        <w:t>Safety exposure</w:t>
      </w:r>
    </w:p>
    <w:p w14:paraId="13171415">
      <w:pPr>
        <w:pStyle w:val="16"/>
        <w:bidi w:val="0"/>
        <w:ind w:left="360" w:leftChars="0" w:hanging="360" w:firstLineChars="0"/>
      </w:pPr>
      <w:r>
        <w:t>Compliance and liability implications</w:t>
      </w:r>
    </w:p>
    <w:p w14:paraId="694E82A0">
      <w:pPr>
        <w:pStyle w:val="16"/>
        <w:bidi w:val="0"/>
        <w:ind w:left="360" w:leftChars="0" w:hanging="360" w:firstLineChars="0"/>
      </w:pPr>
      <w:r>
        <w:t>Likely progression over time</w:t>
      </w:r>
    </w:p>
    <w:p w14:paraId="06E3DC5B">
      <w:pPr>
        <w:pStyle w:val="16"/>
        <w:bidi w:val="0"/>
        <w:ind w:left="360" w:leftChars="0" w:hanging="360" w:firstLineChars="0"/>
      </w:pPr>
      <w:r>
        <w:t>Indicative financial impact for asset planning</w:t>
      </w:r>
    </w:p>
    <w:p w14:paraId="0D0EAA2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F0D97F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approach prioritises </w:t>
      </w:r>
      <w:r>
        <w:rPr>
          <w:b/>
          <w:bCs/>
        </w:rPr>
        <w:t>decision clarity and financial foresight</w:t>
      </w:r>
      <w:r>
        <w:t>, rather than exhaustive technical diagnostics.</w:t>
      </w:r>
    </w:p>
    <w:p w14:paraId="2C4A6293">
      <w:r>
        <w:br w:type="page"/>
      </w:r>
    </w:p>
    <w:p w14:paraId="4B63D4E4">
      <w:pPr>
        <w:pStyle w:val="3"/>
        <w:keepNext/>
      </w:pPr>
      <w:r>
        <w:t>6. Observations and evidence</w:t>
      </w:r>
    </w:p>
    <w:p w14:paraId="67AC00B3">
      <w:r>
        <w:t>The pages in this section are generated dynamically based on on-site observations, photos, and test results.</w:t>
      </w:r>
    </w:p>
    <w:p w14:paraId="58A13031">
      <w:r>
        <w:rPr>
          <w:b w:val="0"/>
          <w:i w:val="0"/>
        </w:rPr>
        <w:t>{{DYNAMIC_FINDING_PAGES}}</w:t>
      </w:r>
    </w:p>
    <w:p w14:paraId="5CA6E1A0">
      <w:r>
        <w:br w:type="page"/>
      </w:r>
    </w:p>
    <w:p w14:paraId="56E2F11F">
      <w:pPr>
        <w:pStyle w:val="3"/>
        <w:keepNext/>
      </w:pPr>
      <w:r>
        <w:t>7. Risk prioritisation framework</w:t>
      </w:r>
    </w:p>
    <w:p w14:paraId="5105A82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assessment applies a structured risk prioritisation framework specifically designed for residential investment properties.</w:t>
      </w:r>
    </w:p>
    <w:p w14:paraId="22E6FC90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objective of this framework is not to identify every technical deviation, but to help property owners clearly distinguish between:</w:t>
      </w:r>
    </w:p>
    <w:p w14:paraId="3D01B369">
      <w:pPr>
        <w:pStyle w:val="16"/>
        <w:bidi w:val="0"/>
        <w:ind w:left="360" w:leftChars="0" w:hanging="360" w:firstLineChars="0"/>
      </w:pPr>
      <w:r>
        <w:t>issues that require immediate attention to manage safety or legal exposure, and</w:t>
      </w:r>
    </w:p>
    <w:p w14:paraId="26590385">
      <w:pPr>
        <w:pStyle w:val="16"/>
        <w:bidi w:val="0"/>
        <w:ind w:left="360" w:leftChars="0" w:hanging="360" w:firstLineChars="0"/>
      </w:pPr>
      <w:r>
        <w:t>conditions that can be monitored or planned for over time without urgent intervention.</w:t>
      </w:r>
    </w:p>
    <w:p w14:paraId="47482F7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7.1 Decision Principles</w:t>
      </w:r>
    </w:p>
    <w:p w14:paraId="0961D76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Findings are prioritised using the following decision order:</w:t>
      </w:r>
    </w:p>
    <w:p w14:paraId="03F09286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rPr>
          <w:b/>
          <w:bCs/>
        </w:rPr>
        <w:t>Safety &amp; Legal Exposure (Highest Priority)</w:t>
      </w:r>
    </w:p>
    <w:p w14:paraId="3E97CB6F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/>
      </w:pPr>
      <w:r>
        <w:t>Conditions that present an immediate or elevated risk to occupant safety, or that may expose the property owner or managing agent to regulatory, insurance, or duty-of-care liability.</w:t>
      </w:r>
    </w:p>
    <w:p w14:paraId="732B1A63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rPr>
          <w:b/>
          <w:bCs/>
        </w:rPr>
        <w:t>Reliability &amp; Escalation Risk</w:t>
      </w:r>
    </w:p>
    <w:p w14:paraId="041A22C3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/>
      </w:pPr>
      <w:r>
        <w:t>Conditions that are currently stable but exhibit characteristics associated with age-related degradation, legacy design standards, or increased likelihood of failure under normal use.</w:t>
      </w:r>
    </w:p>
    <w:p w14:paraId="3F9FC041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rPr>
          <w:b/>
          <w:bCs/>
        </w:rPr>
        <w:t>Budget Planning &amp; Asset Management</w:t>
      </w:r>
    </w:p>
    <w:p w14:paraId="1234503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440" w:leftChars="200" w:right="0"/>
      </w:pPr>
      <w:r>
        <w:t>Conditions that do not pose a safety concern, but may be relevant for long-term maintenance planning, future upgrades, or capital forecasting.</w:t>
      </w:r>
    </w:p>
    <w:p w14:paraId="32612EA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hierarchy ensures that decisions are driven by risk clarity rather than technical complexity or reactive maintenance pressure.</w:t>
      </w:r>
    </w:p>
    <w:p w14:paraId="589B2D9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7.2 Assessment Inputs</w:t>
      </w:r>
    </w:p>
    <w:p w14:paraId="12486CF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Risk prioritisation is informed by a combination of:</w:t>
      </w:r>
    </w:p>
    <w:p w14:paraId="0FB5B865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rightChars="0" w:hanging="420" w:firstLineChars="0"/>
      </w:pPr>
      <w:r>
        <w:t>on-site observations and measured data,</w:t>
      </w:r>
    </w:p>
    <w:p w14:paraId="52FA456F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rightChars="0" w:hanging="420" w:firstLineChars="0"/>
      </w:pPr>
      <w:r>
        <w:t>functional testing results at accessible points,</w:t>
      </w:r>
    </w:p>
    <w:p w14:paraId="51D7FD54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rightChars="0" w:hanging="420" w:firstLineChars="0"/>
      </w:pPr>
      <w:r>
        <w:t>evidence of thermal, insulation, or mechanical stress,</w:t>
      </w:r>
    </w:p>
    <w:p w14:paraId="65E6C988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rightChars="0" w:hanging="420" w:firstLineChars="0"/>
      </w:pPr>
      <w:r>
        <w:t>presence of legacy components and protection arrangements,</w:t>
      </w:r>
    </w:p>
    <w:p w14:paraId="0A3DEC01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rightChars="0" w:hanging="420" w:firstLineChars="0"/>
      </w:pPr>
      <w:r>
        <w:t>escalation indicators based on typical residential usage patterns.</w:t>
      </w:r>
    </w:p>
    <w:p w14:paraId="2C85359A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single observation is assessed in isolation; findings are evaluated in context.</w:t>
      </w:r>
    </w:p>
    <w:p w14:paraId="6FCC703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7.3 Priority Classification</w:t>
      </w:r>
    </w:p>
    <w:p w14:paraId="01FE84C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Based on the above framework, findings are classified into one of the following categories:</w:t>
      </w:r>
    </w:p>
    <w:p w14:paraId="36C0637B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b/>
          <w:bCs/>
        </w:rPr>
        <w:t>Immediate Action Required</w:t>
      </w:r>
    </w:p>
    <w:p w14:paraId="115026E5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/>
      </w:pPr>
      <w:r>
        <w:t>Conditions that present an unacceptable safety or liability risk and should be addressed without delay.</w:t>
      </w:r>
    </w:p>
    <w:p w14:paraId="10188E98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b/>
          <w:bCs/>
        </w:rPr>
        <w:t>Monitoring / Planned Action</w:t>
      </w:r>
    </w:p>
    <w:p w14:paraId="04672371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 w:right="0" w:rightChars="0"/>
      </w:pPr>
      <w:r>
        <w:t>Conditions that are currently acceptable but warrant monitoring or consideration during future electrical works or renovations.</w:t>
      </w:r>
    </w:p>
    <w:p w14:paraId="1CA22CDE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b/>
          <w:bCs/>
        </w:rPr>
        <w:t>Acceptable / No Action Required</w:t>
      </w:r>
    </w:p>
    <w:p w14:paraId="0E399619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/>
      </w:pPr>
      <w:r>
        <w:t>Conditions that are consistent with safe operation under current use and do not require intervention at this time.</w:t>
      </w:r>
    </w:p>
    <w:p w14:paraId="70C0ADC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Importantly, the presence of findings in the latter two categories does not imply non-compliance or unsafe occupation.</w:t>
      </w:r>
    </w:p>
    <w:p w14:paraId="60247F0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7.4 Independence &amp; Scope Boundary</w:t>
      </w:r>
    </w:p>
    <w:p w14:paraId="7DE09E4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prioritisation framework is applied independently of any repair or upgrade proposal.</w:t>
      </w:r>
    </w:p>
    <w:p w14:paraId="2EEF1DD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cost estimates, quotations, or sales recommendations influence the classification of findings.</w:t>
      </w:r>
    </w:p>
    <w:p w14:paraId="0E17C7A4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framework is designed to support informed decision-making, not to mandate expenditure.</w:t>
      </w:r>
    </w:p>
    <w:p w14:paraId="6F157C23">
      <w:r>
        <w:br w:type="page"/>
      </w:r>
    </w:p>
    <w:p w14:paraId="1B67C7B6">
      <w:pPr>
        <w:pStyle w:val="3"/>
        <w:keepNext/>
      </w:pPr>
      <w:r>
        <w:t xml:space="preserve">8. </w:t>
      </w:r>
      <w:r>
        <w:rPr>
          <w:rFonts w:hint="default"/>
          <w:lang w:val="en-US"/>
        </w:rPr>
        <w:t>Five</w:t>
      </w:r>
      <w:r>
        <w:t>-year CapEx roadmap (budget plan)</w:t>
      </w:r>
    </w:p>
    <w:p w14:paraId="325A918B">
      <w:r>
        <w:t>Indicative market benchmarks only. These estimates are for budget provisioning and do not constitute a binding quote.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1970"/>
        <w:gridCol w:w="1824"/>
        <w:gridCol w:w="1816"/>
        <w:gridCol w:w="1755"/>
      </w:tblGrid>
      <w:tr w14:paraId="52E948B8">
        <w:tc>
          <w:tcPr>
            <w:tcW w:w="1728" w:type="dxa"/>
          </w:tcPr>
          <w:p w14:paraId="401CDDD7">
            <w:r>
              <w:t>Asset item</w:t>
            </w:r>
          </w:p>
        </w:tc>
        <w:tc>
          <w:tcPr>
            <w:tcW w:w="1728" w:type="dxa"/>
          </w:tcPr>
          <w:p w14:paraId="429025C1">
            <w:r>
              <w:t>Current condition</w:t>
            </w:r>
          </w:p>
        </w:tc>
        <w:tc>
          <w:tcPr>
            <w:tcW w:w="1728" w:type="dxa"/>
          </w:tcPr>
          <w:p w14:paraId="5B73C914">
            <w:r>
              <w:t>Priority</w:t>
            </w:r>
          </w:p>
        </w:tc>
        <w:tc>
          <w:tcPr>
            <w:tcW w:w="1728" w:type="dxa"/>
          </w:tcPr>
          <w:p w14:paraId="656AC1B8">
            <w:r>
              <w:t>Suggested timeline</w:t>
            </w:r>
          </w:p>
        </w:tc>
        <w:tc>
          <w:tcPr>
            <w:tcW w:w="1728" w:type="dxa"/>
          </w:tcPr>
          <w:p w14:paraId="598BD25D">
            <w:r>
              <w:t>Budgetary range (AUD)</w:t>
            </w:r>
          </w:p>
        </w:tc>
      </w:tr>
      <w:tr w14:paraId="5B97D336">
        <w:tc>
          <w:tcPr>
            <w:tcW w:w="1728" w:type="dxa"/>
          </w:tcPr>
          <w:p w14:paraId="66F5045D">
            <w:r>
              <w:t>{{CAPEX_ITEM_1}}</w:t>
            </w:r>
          </w:p>
        </w:tc>
        <w:tc>
          <w:tcPr>
            <w:tcW w:w="1728" w:type="dxa"/>
          </w:tcPr>
          <w:p w14:paraId="0CBB4E1D">
            <w:r>
              <w:t>{{CAPEX_CONDITION_1}}</w:t>
            </w:r>
          </w:p>
        </w:tc>
        <w:tc>
          <w:tcPr>
            <w:tcW w:w="1728" w:type="dxa"/>
          </w:tcPr>
          <w:p w14:paraId="4B73D7B2">
            <w:r>
              <w:t>{{CAPEX_PRIORITY_1}}</w:t>
            </w:r>
          </w:p>
        </w:tc>
        <w:tc>
          <w:tcPr>
            <w:tcW w:w="1728" w:type="dxa"/>
          </w:tcPr>
          <w:p w14:paraId="0A8D5308">
            <w:r>
              <w:t>{{CAPEX_TIMELINE_1}}</w:t>
            </w:r>
          </w:p>
        </w:tc>
        <w:tc>
          <w:tcPr>
            <w:tcW w:w="1728" w:type="dxa"/>
          </w:tcPr>
          <w:p w14:paraId="3D8A8534">
            <w:r>
              <w:t>{{CAPEX_BUDGET_1}}</w:t>
            </w:r>
          </w:p>
        </w:tc>
      </w:tr>
      <w:tr w14:paraId="52972356">
        <w:tc>
          <w:tcPr>
            <w:tcW w:w="1728" w:type="dxa"/>
          </w:tcPr>
          <w:p w14:paraId="5F2601F3">
            <w:r>
              <w:t>{{CAPEX_ITEM_2}}</w:t>
            </w:r>
          </w:p>
        </w:tc>
        <w:tc>
          <w:tcPr>
            <w:tcW w:w="1728" w:type="dxa"/>
          </w:tcPr>
          <w:p w14:paraId="10A9BB65">
            <w:r>
              <w:t>{{CAPEX_CONDITION_2}}</w:t>
            </w:r>
          </w:p>
        </w:tc>
        <w:tc>
          <w:tcPr>
            <w:tcW w:w="1728" w:type="dxa"/>
          </w:tcPr>
          <w:p w14:paraId="18C3DB01">
            <w:r>
              <w:t>{{CAPEX_PRIORITY_2}}</w:t>
            </w:r>
          </w:p>
        </w:tc>
        <w:tc>
          <w:tcPr>
            <w:tcW w:w="1728" w:type="dxa"/>
          </w:tcPr>
          <w:p w14:paraId="52146FFE">
            <w:r>
              <w:t>{{CAPEX_TIMELINE_2}}</w:t>
            </w:r>
          </w:p>
        </w:tc>
        <w:tc>
          <w:tcPr>
            <w:tcW w:w="1728" w:type="dxa"/>
          </w:tcPr>
          <w:p w14:paraId="7325C8AF">
            <w:r>
              <w:t>{{CAPEX_BUDGET_2}}</w:t>
            </w:r>
          </w:p>
        </w:tc>
      </w:tr>
      <w:tr w14:paraId="4B77BBAA">
        <w:tc>
          <w:tcPr>
            <w:tcW w:w="1728" w:type="dxa"/>
          </w:tcPr>
          <w:p w14:paraId="55085176">
            <w:r>
              <w:t>{{CAPEX_ITEM_3}}</w:t>
            </w:r>
          </w:p>
        </w:tc>
        <w:tc>
          <w:tcPr>
            <w:tcW w:w="1728" w:type="dxa"/>
          </w:tcPr>
          <w:p w14:paraId="2ACD8790">
            <w:r>
              <w:t>{{CAPEX_CONDITION_3}}</w:t>
            </w:r>
          </w:p>
        </w:tc>
        <w:tc>
          <w:tcPr>
            <w:tcW w:w="1728" w:type="dxa"/>
          </w:tcPr>
          <w:p w14:paraId="09E05CF4">
            <w:r>
              <w:t>{{CAPEX_PRIORITY_3}}</w:t>
            </w:r>
          </w:p>
        </w:tc>
        <w:tc>
          <w:tcPr>
            <w:tcW w:w="1728" w:type="dxa"/>
          </w:tcPr>
          <w:p w14:paraId="09741444">
            <w:r>
              <w:t>{{CAPEX_TIMELINE_3}}</w:t>
            </w:r>
          </w:p>
        </w:tc>
        <w:tc>
          <w:tcPr>
            <w:tcW w:w="1728" w:type="dxa"/>
          </w:tcPr>
          <w:p w14:paraId="19E22F1F">
            <w:r>
              <w:t>{{CAPEX_BUDGET_3}}</w:t>
            </w:r>
          </w:p>
        </w:tc>
      </w:tr>
      <w:tr w14:paraId="2977DA9D">
        <w:tc>
          <w:tcPr>
            <w:tcW w:w="1728" w:type="dxa"/>
          </w:tcPr>
          <w:p w14:paraId="029AA6E5">
            <w:r>
              <w:t>{{CAPEX_ITEM_4}}</w:t>
            </w:r>
          </w:p>
        </w:tc>
        <w:tc>
          <w:tcPr>
            <w:tcW w:w="1728" w:type="dxa"/>
          </w:tcPr>
          <w:p w14:paraId="554369B1">
            <w:r>
              <w:t>{{CAPEX_CONDITION_4}}</w:t>
            </w:r>
          </w:p>
        </w:tc>
        <w:tc>
          <w:tcPr>
            <w:tcW w:w="1728" w:type="dxa"/>
          </w:tcPr>
          <w:p w14:paraId="146F7CF4">
            <w:r>
              <w:t>{{CAPEX_PRIORITY_4}}</w:t>
            </w:r>
          </w:p>
        </w:tc>
        <w:tc>
          <w:tcPr>
            <w:tcW w:w="1728" w:type="dxa"/>
          </w:tcPr>
          <w:p w14:paraId="0623FDB1">
            <w:r>
              <w:t>{{CAPEX_TIMELINE_4}}</w:t>
            </w:r>
          </w:p>
        </w:tc>
        <w:tc>
          <w:tcPr>
            <w:tcW w:w="1728" w:type="dxa"/>
          </w:tcPr>
          <w:p w14:paraId="052402B3">
            <w:r>
              <w:t>{{CAPEX_BUDGET_4}}</w:t>
            </w:r>
          </w:p>
        </w:tc>
      </w:tr>
      <w:tr w14:paraId="41D5C86D">
        <w:tc>
          <w:tcPr>
            <w:tcW w:w="1728" w:type="dxa"/>
          </w:tcPr>
          <w:p w14:paraId="7C8C4CFA">
            <w:r>
              <w:t>{{CAPEX_ITEM_5}}</w:t>
            </w:r>
          </w:p>
        </w:tc>
        <w:tc>
          <w:tcPr>
            <w:tcW w:w="1728" w:type="dxa"/>
          </w:tcPr>
          <w:p w14:paraId="57102911">
            <w:r>
              <w:t>{{CAPEX_CONDITION_5}}</w:t>
            </w:r>
          </w:p>
        </w:tc>
        <w:tc>
          <w:tcPr>
            <w:tcW w:w="1728" w:type="dxa"/>
          </w:tcPr>
          <w:p w14:paraId="15BEE5BE">
            <w:r>
              <w:t>{{CAPEX_PRIORITY_5}}</w:t>
            </w:r>
          </w:p>
        </w:tc>
        <w:tc>
          <w:tcPr>
            <w:tcW w:w="1728" w:type="dxa"/>
          </w:tcPr>
          <w:p w14:paraId="7BC2C63F">
            <w:r>
              <w:t>{{CAPEX_TIMELINE_5}}</w:t>
            </w:r>
          </w:p>
        </w:tc>
        <w:tc>
          <w:tcPr>
            <w:tcW w:w="1728" w:type="dxa"/>
          </w:tcPr>
          <w:p w14:paraId="6BD9695E">
            <w:r>
              <w:t>{{CAPEX_BUDGET_5}}</w:t>
            </w:r>
          </w:p>
        </w:tc>
      </w:tr>
    </w:tbl>
    <w:p w14:paraId="0029FDE8">
      <w:r>
        <w:br w:type="page"/>
      </w:r>
    </w:p>
    <w:p w14:paraId="34A5611C">
      <w:pPr>
        <w:pStyle w:val="3"/>
        <w:keepNext/>
      </w:pPr>
      <w:r>
        <w:t>9. Owner decision pathways</w:t>
      </w:r>
    </w:p>
    <w:p w14:paraId="3275EF93">
      <w:pPr>
        <w:pStyle w:val="4"/>
      </w:pPr>
      <w:r>
        <w:t>Option A — Monitor only</w:t>
      </w:r>
    </w:p>
    <w:p w14:paraId="74D43DCB">
      <w:r>
        <w:t>Take no action now. Reassess in 12 months or at the next tenancy turnover.</w:t>
      </w:r>
    </w:p>
    <w:p w14:paraId="5B637F1B">
      <w:pPr>
        <w:pStyle w:val="4"/>
      </w:pPr>
      <w:r>
        <w:t>Option B — Planned upgrades</w:t>
      </w:r>
    </w:p>
    <w:p w14:paraId="4239F318">
      <w:r>
        <w:t>Budget and schedule the planned items within the suggested windows to reduce reactive maintenance.</w:t>
      </w:r>
    </w:p>
    <w:p w14:paraId="62AD9518">
      <w:pPr>
        <w:pStyle w:val="4"/>
      </w:pPr>
      <w:r>
        <w:t>Option C — Independent rectification</w:t>
      </w:r>
    </w:p>
    <w:p w14:paraId="04E73B60">
      <w:r>
        <w:t>Use this report to brief any contractor of your choice. Request itemised scope aligned to priorities.</w:t>
      </w:r>
    </w:p>
    <w:p w14:paraId="4C8686AA">
      <w:pPr>
        <w:pStyle w:val="4"/>
      </w:pPr>
      <w:r>
        <w:t>Option D — Management plan integration</w:t>
      </w:r>
    </w:p>
    <w:p w14:paraId="4E02CB66">
      <w:r>
        <w:t>Delegate coordination, quotation review, and completion verification to a management plan (Standard or Premium).</w:t>
      </w:r>
    </w:p>
    <w:p w14:paraId="4BA84A93"/>
    <w:p w14:paraId="23E916B6">
      <w:r>
        <w:br w:type="page"/>
      </w:r>
    </w:p>
    <w:p w14:paraId="6196E52B">
      <w:pPr>
        <w:pStyle w:val="3"/>
        <w:keepNext/>
      </w:pPr>
      <w:r>
        <w:t>10. Terms, limitations and legal framework</w:t>
      </w:r>
    </w:p>
    <w:p w14:paraId="595DDF94">
      <w:r>
        <w:rPr>
          <w:b w:val="0"/>
          <w:i w:val="0"/>
        </w:rPr>
        <w:t>{{LEGAL_DISCLAIMER_TEXT}}</w:t>
      </w:r>
    </w:p>
    <w:p w14:paraId="1867B929">
      <w:r>
        <w:br w:type="page"/>
      </w:r>
    </w:p>
    <w:p w14:paraId="21285C76">
      <w:pPr>
        <w:pStyle w:val="3"/>
        <w:keepNext/>
      </w:pPr>
      <w:r>
        <w:t>11. Appendix (photos and test notes)</w:t>
      </w:r>
    </w:p>
    <w:p w14:paraId="4303F667">
      <w:pPr>
        <w:rPr>
          <w:b w:val="0"/>
          <w:i w:val="0"/>
        </w:rPr>
      </w:pPr>
      <w:r>
        <w:rPr>
          <w:b w:val="0"/>
          <w:i w:val="0"/>
        </w:rPr>
        <w:t>{{APPENDIX_CONTENT}}</w:t>
      </w:r>
    </w:p>
    <w:p w14:paraId="6DB66D28">
      <w:pPr>
        <w:rPr>
          <w:b w:val="0"/>
          <w:i w:val="0"/>
        </w:rPr>
        <w:sectPr>
          <w:footerReference r:id="rId5" w:type="default"/>
          <w:pgSz w:w="12240" w:h="15840"/>
          <w:pgMar w:top="1440" w:right="1800" w:bottom="1440" w:left="1800" w:header="720" w:footer="680" w:gutter="0"/>
          <w:cols w:space="720" w:num="1"/>
          <w:titlePg/>
          <w:docGrid w:linePitch="360" w:charSpace="0"/>
        </w:sectPr>
      </w:pPr>
    </w:p>
    <w:p w14:paraId="60934440">
      <w:pPr>
        <w:pStyle w:val="3"/>
        <w:keepNext/>
      </w:pPr>
      <w:r>
        <w:rPr>
          <w:rFonts w:hint="default"/>
          <w:lang w:val="en-US"/>
        </w:rPr>
        <w:t>12</w:t>
      </w:r>
      <w:r>
        <w:t xml:space="preserve">. </w:t>
      </w:r>
      <w:r>
        <w:rPr>
          <w:rFonts w:hint="default"/>
          <w:lang w:val="en-US"/>
        </w:rPr>
        <w:t>Closing Statement</w:t>
      </w:r>
    </w:p>
    <w:p w14:paraId="58B7E77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report has been prepared to reduce uncertainty, not to prompt immediate action.</w:t>
      </w:r>
    </w:p>
    <w:p w14:paraId="39D2E000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Its purpose is to provide a clear, independent understanding of your property’s electrical condition, allowing future decisions to be made with confidence rather than assumption.</w:t>
      </w:r>
    </w:p>
    <w:p w14:paraId="629F288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Electrical issues often become costly not because they were severe, but because they were misunderstood, deferred without context, or addressed reactively.</w:t>
      </w:r>
    </w:p>
    <w:p w14:paraId="239A953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By documenting current conditions, prioritising risks, and outlining a forward-looking capital outlook, this assessment enables you to plan deliberately, budget responsibly, and engage third parties from a position of knowledge.</w:t>
      </w:r>
    </w:p>
    <w:p w14:paraId="4FA2196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report is intended to remain relevant beyond today.</w:t>
      </w:r>
    </w:p>
    <w:p w14:paraId="7A01661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 may be referenced when planning upgrades, reviewing insurance considerations, preparing for tenancy changes, or reassessing asset strategy over time.</w:t>
      </w:r>
    </w:p>
    <w:p w14:paraId="40CB2AE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immediate action is required unless specifically identified as an urgent liability risk.</w:t>
      </w:r>
    </w:p>
    <w:p w14:paraId="1A6EF44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i w:val="0"/>
        </w:rPr>
      </w:pPr>
      <w:r>
        <w:t>The value of this assessment lies in clarity, foresight, and informed choice.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F7C29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3215640</wp:posOffset>
              </wp:positionH>
              <wp:positionV relativeFrom="paragraph">
                <wp:posOffset>-288925</wp:posOffset>
              </wp:positionV>
              <wp:extent cx="2216150" cy="295275"/>
              <wp:effectExtent l="6350" t="6350" r="12700" b="28575"/>
              <wp:wrapSquare wrapText="bothSides"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037455" y="9286875"/>
                        <a:ext cx="2216150" cy="29527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C03819">
                          <w:pPr>
                            <w:pStyle w:val="25"/>
                            <w:jc w:val="right"/>
                            <w:rPr>
                              <w:rFonts w:hint="default" w:ascii="Microsoft Sans Serif" w:hAnsi="Microsoft Sans Serif" w:cs="Microsoft Sans Serif"/>
                              <w:color w:val="FFFFFF" w:themeColor="background1"/>
                              <w:lang w:val="en-US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Microsoft Sans Serif" w:hAnsi="Microsoft Sans Serif" w:cs="Microsoft Sans Serif"/>
                              <w:color w:val="C6D9F1" w:themeColor="text2" w:themeTint="33"/>
                              <w:lang w:val="en-US"/>
                              <w14:textFill>
                                <w14:solidFill>
                                  <w14:schemeClr w14:val="tx2">
                                    <w14:lumMod w14:val="20000"/>
                                    <w14:lumOff w14:val="80000"/>
                                  </w14:schemeClr>
                                </w14:solidFill>
                              </w14:textFill>
                            </w:rPr>
                            <w:t>Better Home Technology Pty Ltd</w:t>
                          </w:r>
                        </w:p>
                        <w:p w14:paraId="5D1DFA65">
                          <w:pP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3.2pt;margin-top:-22.75pt;height:23.25pt;width:174.5pt;mso-wrap-distance-bottom:0pt;mso-wrap-distance-left:9pt;mso-wrap-distance-right:9pt;mso-wrap-distance-top:0pt;z-index:251660288;mso-width-relative:page;mso-height-relative:page;" filled="f" stroked="t" coordsize="21600,21600" o:gfxdata="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k7+SdgAAAAJAQAADwAAAAAAAAABACAAAAAiAAAAZHJzL2Rvd25yZXYueG1sUEsBAhQAFAAAAAgA&#10;h07iQOvN3pFeAgAAmgQAAA4AAAAAAAAAAQAgAAAAJwEAAGRycy9lMm9Eb2MueG1sUEsFBgAAAAAG&#10;AAYAWQEAAPcFAAAAAA==&#10;">
              <v:fill on="f" focussize="0,0"/>
              <v:stroke weight="0.5pt" color="#000000 [3204]" joinstyle="round"/>
              <v:imagedata o:title=""/>
              <o:lock v:ext="edit" aspectratio="f"/>
              <v:textbox>
                <w:txbxContent>
                  <w:p w14:paraId="4EC03819">
                    <w:pPr>
                      <w:pStyle w:val="25"/>
                      <w:jc w:val="right"/>
                      <w:rPr>
                        <w:rFonts w:hint="default" w:ascii="Microsoft Sans Serif" w:hAnsi="Microsoft Sans Serif" w:cs="Microsoft Sans Serif"/>
                        <w:color w:val="FFFFFF" w:themeColor="background1"/>
                        <w:lang w:val="en-US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default" w:ascii="Microsoft Sans Serif" w:hAnsi="Microsoft Sans Serif" w:cs="Microsoft Sans Serif"/>
                        <w:color w:val="C6D9F1" w:themeColor="text2" w:themeTint="33"/>
                        <w:lang w:val="en-US"/>
                        <w14:textFill>
                          <w14:solidFill>
                            <w14:schemeClr w14:val="tx2">
                              <w14:lumMod w14:val="20000"/>
                              <w14:lumOff w14:val="80000"/>
                            </w14:schemeClr>
                          </w14:solidFill>
                        </w14:textFill>
                      </w:rPr>
                      <w:t>Better Home Technology Pty Ltd</w:t>
                    </w:r>
                  </w:p>
                  <w:p w14:paraId="5D1DFA65"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-1148715</wp:posOffset>
              </wp:positionH>
              <wp:positionV relativeFrom="paragraph">
                <wp:posOffset>-297180</wp:posOffset>
              </wp:positionV>
              <wp:extent cx="7755890" cy="287655"/>
              <wp:effectExtent l="15875" t="15875" r="76835" b="7747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30655" y="9321800"/>
                        <a:ext cx="7755890" cy="287655"/>
                      </a:xfrm>
                      <a:prstGeom prst="rect">
                        <a:avLst/>
                      </a:prstGeom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0">
                        <a:srgbClr val="FFFFFF"/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.45pt;margin-top:-23.4pt;height:22.65pt;width:610.7pt;z-index:251659264;v-text-anchor:middle;mso-width-relative:page;mso-height-relative:page;" fillcolor="#4F81BD [3204]" filled="t" stroked="f" coordsize="21600,21600" o:gfxdata="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oIgUadoAAAAMAQAADwAAAAAAAAABACAAAAAiAAAAZHJzL2Rvd25yZXYueG1sUEsBAhQAFAAA&#10;AAgAh07iQKsTwTaYAgAAIAUAAA4AAAAAAAAAAQAgAAAAKQEAAGRycy9lMm9Eb2MueG1sUEsFBgAA&#10;AAAGAAYAWQEAADMGAAAAAA==&#10;">
              <v:fill on="t" focussize="0,0"/>
              <v:stroke on="f"/>
              <v:imagedata o:title=""/>
              <o:lock v:ext="edit" aspectratio="f"/>
              <v:shadow on="t" color="#000000" opacity="26214f" offset="2.12133858267717pt,2.12133858267717pt" origin="-32768f,-32768f" matrix="65536f,0f,0f,65536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272C5"/>
    <w:multiLevelType w:val="multilevel"/>
    <w:tmpl w:val="FFF272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2460"/>
        </w:tabs>
        <w:ind w:left="24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59707D9"/>
    <w:multiLevelType w:val="multilevel"/>
    <w:tmpl w:val="759707D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FA9D32"/>
    <w:rsid w:val="6ADD2A6D"/>
    <w:rsid w:val="7DA7C5B1"/>
    <w:rsid w:val="935B07DA"/>
    <w:rsid w:val="CB7F6858"/>
    <w:rsid w:val="D8EBD5FC"/>
    <w:rsid w:val="FAE9A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tabs>
        <w:tab w:val="left" w:pos="360"/>
        <w:tab w:val="clear" w:pos="24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2013-12-26T17:45:00Z</dcterms:created>
  <dc:creator>python-docx</dc:creator>
  <dc:description>generated by python-docx</dc:description>
  <cp:lastModifiedBy>萌张</cp:lastModifiedBy>
  <dcterms:modified xsi:type="dcterms:W3CDTF">2026-02-07T22:02:14Z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C011D13004DAF4C83C9180690BF4C206_42</vt:lpwstr>
  </property>
</Properties>
</file>