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6"/>
          <w:szCs w:val="56"/>
        </w:rPr>
        <w:t xml:space="preserve">Rabbit Hunter V5.1</w:t>
      </w:r>
    </w:p>
    <w:p>
      <w:pPr>
        <w:spacing w:after="300"/>
      </w:pPr>
      <w:r>
        <w:rPr>
          <w:color w:val="2E75B6"/>
          <w:sz w:val="28"/>
          <w:szCs w:val="28"/>
        </w:rPr>
        <w:t xml:space="preserve">架构优化设计稿 — Rule-based Quant Engine + AI Optimization Engine</w:t>
      </w:r>
    </w:p>
    <w:p>
      <w:pPr>
        <w:spacing w:after="160"/>
      </w:pPr>
      <w:r>
        <w:t xml:space="preserve">版本：V5.1（在V5.0基础上的架构修正与工程化补全）</w:t>
      </w:r>
    </w:p>
    <w:p>
      <w:pPr>
        <w:spacing w:after="160"/>
      </w:pPr>
      <w:r>
        <w:t xml:space="preserve">定位：AI 分析师，不是 AI 交易员 —— 决策链路 100% 确定性，AI 负责复盘、解释与优化建议</w:t>
      </w:r>
    </w:p>
    <w:p>
      <w:pPr>
        <w:spacing w:after="160"/>
      </w:pPr>
      <w:r>
        <w:t xml:space="preserve">日期：2026-07-05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一、核心理念变更</w:t>
      </w:r>
    </w:p>
    <w:p>
      <w:pPr>
        <w:spacing w:after="160"/>
      </w:pPr>
      <w:r>
        <w:t xml:space="preserve">V5.0 的问题不是执行细节,而是根本假设:让大语言模型直接输出 BUY / SELL / WAIT。LLM 不是确定性系统,相同输入在不同时刻可能给出不同结论(Prompt 漂移),也无法替代 Kelly 仓位、ATR 止损这类必须精确计算的数学过程。V5.1 的第一条原则是: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决策链路(打分 → 策略 → 风控 → 下单)必须 100% 由确定性代码/数学模型完成,不允许 LLM 出现在这条链路上的任何一环。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AI 只出现在链路之外,负责复盘、解释、参数优化建议、模式发现 —— 且其任何建议在生效前都必须经过样本外验证与审批,不能直接改动生产参数。</w:t>
            </w:r>
          </w:p>
        </w:tc>
      </w:tr>
    </w:tbl>
    <w:p>
      <w:pPr>
        <w:pStyle w:val="Heading2"/>
      </w:pPr>
      <w:r>
        <w:t xml:space="preserve">新旧架构对比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V5.0 原设计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V5.1 优化设计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决策方式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综合判断输出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规则/评分模型输出 Score,策略层按阈值路由,LLM 不参与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一致性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相同输入可能得到不同结论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相同输入 + 相同模型版本 = 恒定输出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参数调整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建议后自动保存新模型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建议 → 样本外回测 → 影子模式验证 → 人工/规则审批 → 才合并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风险控制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仅单笔止损 + 单日熔断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增加组合层相关性/敞口控制 + 独立于主链路的极端行情熔断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角色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隐含为交易员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明确为分析师:复盘、解释、调参建议、模式发现</w:t>
            </w:r>
          </w:p>
        </w:tc>
      </w:tr>
    </w:tbl>
    <w:p>
      <w:pPr>
        <w:pStyle w:val="Heading1"/>
      </w:pPr>
      <w:r>
        <w:t xml:space="preserve">二、六层架构总览</w:t>
      </w:r>
    </w:p>
    <w:p>
      <w:pPr>
        <w:spacing w:after="160"/>
      </w:pPr>
      <w:r>
        <w:t xml:space="preserve">在原有 Data → Feature → Market State → Strategy Router 的基础上,补齐“组合风险层”和“执行可靠性”,并把“学习”从“自动生效”改为“建议 + 验证 + 审批”的闭环: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Engine — 采集与清洗(新增:多数据源冗余、异常数据检测)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 — 指标计算(与原 Feature Extraction Agent 一致)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Scoring Engine — 数学规则 + 可回测的统计打分模型(升级自 Market State + Long/Short Engine)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 &amp; Portfolio Risk Engine — 策略路由 + 单笔风控 + 组合层风险(新增组合维度)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Execution Engine — 下单执行(新增:心跳看门狗、对账、权限最小化)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Review Agent — 复盘 / 解释 / 调参建议 / 模式发现(角色收窄,不碰资金)</w:t>
      </w:r>
    </w:p>
    <w:p>
      <w:pPr>
        <w:pStyle w:val="Heading1"/>
      </w:pPr>
      <w:r>
        <w:t xml:space="preserve">三、各层详细设计</w:t>
      </w:r>
    </w:p>
    <w:p>
      <w:pPr>
        <w:pStyle w:val="Heading2"/>
      </w:pPr>
      <w:r>
        <w:t xml:space="preserve">3.1 Data Engine — 数据可靠性优先</w:t>
      </w:r>
    </w:p>
    <w:p>
      <w:pPr>
        <w:spacing w:after="160"/>
      </w:pPr>
      <w:r>
        <w:t xml:space="preserve">原设计假定交易所数据永远可靠,实际生产环境中 API 抖动、插针、字段缺失是常态。建议新增: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多数据源交叉校验:至少两个独立数据源(如交易所 REST + WebSocket,或搭配第三方行情源)对关键字段(价格、OI、Funding)做一致性校验,发现偏差超过阈值时标记该 symbol 数据不可信,本轮跳过而非硬用。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Quality Agent:检测跳空、缺失 K 线、时间戳错乱等异常,异常数据不进入下游打分,同时记录告警。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时序数据库落地(TimescaleDB / InfluxDB 等):所有原始数据和特征值落盘,既服务于回测,也服务于 AI Review 的复盘取数,保证回测与实盘用的是同一份历史真值。</w:t>
      </w:r>
    </w:p>
    <w:p>
      <w:pPr>
        <w:pStyle w:val="Heading2"/>
      </w:pPr>
      <w:r>
        <w:t xml:space="preserve">3.2 Scoring Engine — 从“手写阈值”升级为“可回测的打分模型”</w:t>
      </w:r>
    </w:p>
    <w:p>
      <w:pPr>
        <w:spacing w:after="160"/>
      </w:pPr>
      <w:r>
        <w:t xml:space="preserve">纯 if/else 阈值规则(如 EMA20&gt;EMA60 AND ADX&gt;25)容易过拟合当前市场结构,行情风格切换后规则会滞后失效,但完全交给 LLM 又丢失确定性。折中方案: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硬约束层保留规则引擎:流动性过滤、极端风险熔断等“必须满足/必须禁止”的条件,继续用简单数学规则,因为这类判断本就该是非黑即白的。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评分层升级为可训练的统计模型(逻辑回归 / 梯度提升树 / 线性加权评分),用历史数据做 walk-forward 训练(只用训练时点之前的数据),输出 Long/Short Score。推理阶段是纯矩阵运算,给定同一模型版本文件和同一输入特征,输出永远恒定 —— 保留了“确定性”这个核心要求,只是把权重从“人工拍脑袋”换成了“统计出来的、可回测验证的”。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模型训练与推理严格分离:训练在离线环境跑,产出一个带版本号的模型文件;线上推理只加载已发布模型,不做在线学习,避免行情噪音实时污染决策。</w:t>
      </w:r>
    </w:p>
    <w:p>
      <w:pPr>
        <w:pStyle w:val="Heading2"/>
      </w:pPr>
      <w:r>
        <w:t xml:space="preserve">3.3 Strategy &amp; Portfolio Risk Engine — 补上“组合层”这一环</w:t>
      </w:r>
    </w:p>
    <w:p>
      <w:pPr>
        <w:spacing w:after="160"/>
      </w:pPr>
      <w:r>
        <w:t xml:space="preserve">原设计的 Risk Engine 只管单笔仓位和单日熔断,但没有处理“多个高相关标的同时开仓”的组合暴露问题 —— 比如同时对 10 个小市值币做多,本质上可能只是同一个 beta 风险的 10 倍杠杆。建议新增组合风险层: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持仓相关性矩阵:计算当前持仓两两相关性,限制高相关(如 ρ&gt;0.7)标的的总敞口。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板块/beta 集中度限制:例如“山寨币多头总仓位不超过总资金 X%”,避免看似分散、实则同涨同跌。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净收益模型而非名义盈亏:仓位计算和评分要把资金费率、滑点、手续费计入,否则高频策略容易在“账面盈利、实际亏损”的假象里越做越大仓位。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极端行情独立熔断进程:ATR 在短时间内急剧扩大(如超过近期均值 N 倍)时,由一个独立于主决策链路的监控进程直接触发降杠杆/清仓指令,不依赖主链路的正常调度周期 —— 避免主链路卡顿或计算超时时来不及止损。</w:t>
      </w:r>
    </w:p>
    <w:p>
      <w:pPr>
        <w:pStyle w:val="Heading2"/>
      </w:pPr>
      <w:r>
        <w:t xml:space="preserve">3.4 Execution Engine — 工程可靠性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心跳看门狗(Dead Man's Switch):上游任一 Agent 心跳中断超过阈值,Execution Agent 自动切换为“只平仓不开仓”模式。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权限最小化:交易 Key 只开交易权限,禁用提币权限,配合 IP 白名单。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幂等下单与订单对账:断线重连后先对账本地订单状态与交易所真实状态,避免重复下单或产生“孤儿仓位”。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多交易所抽象层保持原设计思路(统一接口,未来接 OKX/Bybit/Hyperliquid 无需改动上层),但要求每个交易所适配器都实现同样的看门狗和对账逻辑,而不是只有主交易所有。</w:t>
      </w:r>
    </w:p>
    <w:p>
      <w:pPr>
        <w:pStyle w:val="Heading2"/>
      </w:pPr>
      <w:r>
        <w:t xml:space="preserve">3.5 AI Review Agent — 角色收窄但更具体</w:t>
      </w:r>
    </w:p>
    <w:p>
      <w:pPr>
        <w:spacing w:after="160"/>
      </w:pPr>
      <w:r>
        <w:t xml:space="preserve">这是系统里 AI 唯一被允许“发言”的地方,但发言不等于生效。四项职责细化为: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复盘与策略退役预警:分析历史交易胜率、盈亏比,当某策略连续 N 笔在样本外表现低于历史基线时,自动生成“建议暂停该策略”的预警,而不是等回撤扩大才被发现。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参数优化建议:提出如“ATR 系数从 1.5 调到 2.0”的建议,但必须先在样本外历史数据上跑回测、再进入影子模式(Shadow Mode,与实盘并行运行但不真实下单)观察至少 N 天,达到统计显著性门槛(如夏普比提升的置信区间不含 0)才允许合并进生产模型。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发现新模式:识别“某指标近期失效、某指标转强”等变化,输出为研究报告,由人工决定是否纳入 Scoring Engine 的特征集,而非自动上线。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自然语言解释与周报生成:回答“为什么今天不开仓”、自动生成周度/月度复盘报告,这是 AI 最擅长、风险最低的部分,可以放开使用。</w:t>
      </w:r>
    </w:p>
    <w:p>
      <w:pPr>
        <w:pStyle w:val="Heading1"/>
      </w:pPr>
      <w:r>
        <w:t xml:space="preserve">四、新增的关键机制</w:t>
      </w:r>
    </w:p>
    <w:p>
      <w:pPr>
        <w:pStyle w:val="Heading2"/>
      </w:pPr>
      <w:r>
        <w:t xml:space="preserve">4.1 模型版本管理与审批门</w:t>
      </w:r>
    </w:p>
    <w:p>
      <w:pPr>
        <w:spacing w:after="160"/>
      </w:pPr>
      <w:r>
        <w:t xml:space="preserve">这是对原“每天凌晨自动调整权重、保存新版模型”流程最重要的修正。原流程存在数据窥探/过拟合风险 —— 用最近的数据调参数,很可能只是拟合了噪音。改为: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每个模型/参数版本都要打版本号,记录训练数据窗口、验证结果、审批人,可随时回滚,类似 git 的分支管理。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新版本必须先过样本外回测,再进影子模式与实盘并行观察,两关都通过才能切换为生产版本。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设置“人工审批”或至少“自动化但有硬性统计门槛”的关卡,避免 AI 建议被无条件自动执行。</w:t>
      </w:r>
    </w:p>
    <w:p>
      <w:pPr>
        <w:pStyle w:val="Heading2"/>
      </w:pPr>
      <w:r>
        <w:t xml:space="preserve">4.2 研究/生产环境隔离,防止未来函数</w:t>
      </w:r>
    </w:p>
    <w:p>
      <w:pPr>
        <w:spacing w:after="160"/>
      </w:pPr>
      <w:r>
        <w:t xml:space="preserve">回测和实盘必须调用完全相同的 Feature Engine 代码路径,而不是“回测用一套计算逻辑、实盘用另一套”,这是过拟合和未来函数(look-ahead bias)最常见的来源。回测框架需要包含真实的滑点、手续费、资金费率模型,而不是用理想化的成交价。</w:t>
      </w:r>
    </w:p>
    <w:p>
      <w:pPr>
        <w:pStyle w:val="Heading2"/>
      </w:pPr>
      <w:r>
        <w:t xml:space="preserve">4.3 可观测性与审计</w:t>
      </w:r>
    </w:p>
    <w:p>
      <w:pPr>
        <w:spacing w:after="160"/>
      </w:pPr>
      <w:r>
        <w:t xml:space="preserve">每一次打分和决策都要记录完整快照 —— 输入特征、命中的规则、模型版本、最终 Action —— 保证可复现、可事后审计,这也是 AI Review Agent 做复盘的数据基础。建议搭配轻量监控看板,实时展示各 Agent 健康状态、延迟和异常告警。</w:t>
      </w:r>
    </w:p>
    <w:p>
      <w:pPr>
        <w:pStyle w:val="Heading1"/>
      </w:pPr>
      <w:r>
        <w:t xml:space="preserve">五、项目目录建议(更新版)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rabbit-hunter/
├── data_engine/            # 采集、清洗、多源校验
├── feature_engine/         # 指标计算(回测与实盘共用同一份代码)
├── scoring_engine/         # 硬约束规则 + 可训练打分模型(含训练/推理分离)
│   ├── rules/
│   └── models/             # 带版本号的模型文件
├── strategy_engine/        # 策略路由
├── risk_engine/
│   ├── position_risk/      # 单笔风控
│   └── portfolio_risk/     # 组合相关性/敞口/极端行情熔断
├── execution_engine/       # 下单、看门狗、对账、多交易所适配器
├── ai_review/              # 复盘、调参建议、模式发现、周报生成
├── validation/             # 样本外回测、影子模式框架
├── observability/          # 决策快照日志、监控看板
├── backtest/
├── database/               # 时序数据库
└── config/                 # 各版本参数、审批记录</w:t>
      </w:r>
    </w:p>
    <w:p>
      <w:pPr>
        <w:pStyle w:val="Heading1"/>
      </w:pPr>
      <w:r>
        <w:t xml:space="preserve">六、分阶段落地建议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确定性打分闭环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Data/Feature/Scoring(规则版)/Strategy/Risk/Execution 全部跑通,不含 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可训练打分模型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训练/推理分离、模型版本管理、回测与实盘特征代码统一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组合风险与工程可靠性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相关性风控、看门狗、对账、独立熔断进程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Review 闭环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复盘、调参建议 + 样本外验证/影子模式、周报生成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多交易所 / 多账户扩展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 Phase 1-4 稳定运行、有真实业绩数据后再扩展</w:t>
            </w:r>
          </w:p>
        </w:tc>
      </w:tr>
    </w:tbl>
    <w:p>
      <w:pPr>
        <w:pStyle w:val="Heading1"/>
      </w:pPr>
      <w:r>
        <w:t xml:space="preserve">七、提示</w:t>
      </w:r>
    </w:p>
    <w:p>
      <w:pPr>
        <w:spacing w:after="160"/>
      </w:pPr>
      <w:r>
        <w:t xml:space="preserve">本设计稿是架构层面的建议,不构成投资建议。加密货币合约交易杠杆高、波动大,任何自动化交易系统在投入实盘前都应经过充分的历史回测、模拟盘验证,并从小资金规模开始逐步验证。系统设计本身也应保留完整的交易记录以便复盘和潜在的税务/合规需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Rabbit Hunter V5.1 架构设计稿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2026-07-05T12:17:20.416Z</dcterms:created>
  <dcterms:modified xsi:type="dcterms:W3CDTF">2026-07-05T12:17:20.417Z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