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 w:val="on"/>
          <w:bCs w:val="on"/>
          <w:sz w:val="32"/>
          <w:szCs w:val="32"/>
        </w:rPr>
      </w:pPr>
      <w:r>
        <w:rPr>
          <w:b w:val="on"/>
          <w:bCs w:val="on"/>
          <w:sz w:val="32"/>
          <w:szCs w:val="32"/>
        </w:rPr>
        <w:t xml:space="preserve">浅谈石油库总平面布置——合理的进行油库总平面布置</w:t>
      </w:r>
    </w:p>
    <w:p>
      <w:pPr>
        <w:widowControl w:val="on"/>
        <w:pBdr/>
        <w:spacing w:before="0" w:after="0" w:line="240" w:lineRule="auto"/>
        <w:ind w:left="0" w:right="0"/>
        <w:jc w:val="left"/>
      </w:pPr>
      <w:r>
        <w:rPr>
          <w:color w:val="000000"/>
          <w:sz w:val="24"/>
          <w:szCs w:val="24"/>
        </w:rPr>
        <w:t xml:space="preserve">
摘要】
油库平面布置在满足输油工艺、防火、安全、环保、卫生的前提下，因地制宜，合理紧凑的布置相关设施。在总平面布置时贯彻分区明确、布局紧凑、流程顺畅、节约用地、本质安全、方便管理、降低能耗、节省投资、提高效益、美观实用的原则，同时还要注意适应弹性生产，合理的预留发展。</w:t>
      </w:r>
      <w:r>
        <w:rPr>
          <w:color w:val="000000"/>
          <w:sz w:val="24"/>
          <w:szCs w:val="24"/>
        </w:rPr>
        <w:br/>
        <w:t xml:space="preserve">【关键词】
平面布置 
竖向设计 
合理紧凑 
流程顺畅 
节约投资</w:t>
      </w:r>
      <w:r>
        <w:rPr>
          <w:color w:val="000000"/>
          <w:sz w:val="24"/>
          <w:szCs w:val="24"/>
        </w:rPr>
        <w:br/>
        <w:t xml:space="preserve">中图分类号：　　　Ｇ71　　　文献标识码：　　　Ａ　　文章编号：ISSN1004-1621（2011）06-016-02</w:t>
      </w:r>
      <w:r>
        <w:rPr>
          <w:color w:val="000000"/>
          <w:sz w:val="24"/>
          <w:szCs w:val="24"/>
        </w:rPr>
        <w:br/>
        <w:t xml:space="preserve">       
按照《石油库设计规范》的要求，油库内的设施平面布置应采取按功能分区布置的方式，做到分区明确、规模合理。同时，石油库内的各种建、构筑物，火灾危险程度、散发油气量的多少、以及生产操作的的方式等差别较大，在进行平面布置时，要考虑按照生产操作、火灾危险程度、经营管理等特点进行分区布置，特殊的区域需要隔离。对于改造油库，在总平面布置时要考虑原有设施的使用状况，结合地形和油库现状，合理的调整布局。对于新建油库，应该结合地形、地貌、地质以及库外的交通设施、市政设施等条件，优化总平面布置，确保新建油库布局紧凑合理、管理方便、工艺流畅、而且能够节约投资，绿化优化油库的总图布置。在此，我结合一年来的工作实际，就油库内的总平面布置按照功能分区做一些评论。</w:t>
      </w:r>
      <w:r>
        <w:rPr>
          <w:color w:val="000000"/>
          <w:sz w:val="24"/>
          <w:szCs w:val="24"/>
        </w:rPr>
        <w:br/>
        <w:t xml:space="preserve">       
公路发油区：</w:t>
      </w:r>
      <w:r>
        <w:rPr>
          <w:color w:val="000000"/>
          <w:sz w:val="24"/>
          <w:szCs w:val="24"/>
        </w:rPr>
        <w:br/>
        <w:t xml:space="preserve">       
从平面布置的角度来说：公路发油区最好布置在靠近库外公路的一侧，最好是面对库外道路，有利于进出车辆的通行，同时还能比较好的表现油库的重要标志-汽车发油亭；同时，公路发油区要与辅助生产区、油罐区隔开，以便限制一定的人员出入，有利于管理，也可减少安全隐患。目前我们所设计的所有油库，公路发油区都与其他区域用围墙或者栅栏隔开，有便于生产管理。从竖向设计的角度来说：公路发油区一般情况下要比油罐区低，有利于油库的工艺流程，特殊的情况下，油库地形竖向高差比较大，公路发油区比油罐区高，工艺专业需要加设高压泵，才能够满足公路发油的要求，例如合肥油库迁建工程，公路发油区靠近公路一侧地坪标高33.0m，油罐区地势比较低，标高只有28.5m左右，在这种情况下，综合考虑油库的总平面布置，为了减少土方工程量，节省投资，在设计时就把公路发油区设计的比较高；同时公路发油区的竖向标高最好高于库外道路，以便库外的雨水不能流进油库内，影响生产，在特殊情况下，也可以比库外公路低，比如说高庄油库改扩建工程，在现有的地形条件下，为了满足工艺流程，结合现有地形，节省投资，公路发油区就比库外道路要低1m左右，同时在围墙外设排水沟，防止库外雨水回流，影响生产。</w:t>
      </w:r>
      <w:r>
        <w:rPr>
          <w:color w:val="000000"/>
          <w:sz w:val="24"/>
          <w:szCs w:val="24"/>
        </w:rPr>
        <w:br/>
        <w:t xml:space="preserve">       
铁路装卸区：</w:t>
      </w:r>
      <w:r>
        <w:rPr>
          <w:color w:val="000000"/>
          <w:sz w:val="24"/>
          <w:szCs w:val="24"/>
        </w:rPr>
        <w:br/>
        <w:t xml:space="preserve">       
铁路装卸区应该布置在油库的边缘地带，不致因铁路油罐车进出影响其它各区的操作管理，也可以减少铁路与库内道路的交叉，有利于安全和消防。但有可能受地形或其它条件的限制，不能在边缘地带布置时，可综合考虑进行合理的布置。例如白马山油库，现有铁路装卸线就在油库的中间位置，把油罐区和其它区域隔开。</w:t>
      </w:r>
      <w:r>
        <w:rPr>
          <w:color w:val="000000"/>
          <w:sz w:val="24"/>
          <w:szCs w:val="24"/>
        </w:rPr>
        <w:br/>
        <w:t xml:space="preserve">       
行政管理区以及辅助生产区：</w:t>
      </w:r>
      <w:r>
        <w:rPr>
          <w:color w:val="000000"/>
          <w:sz w:val="24"/>
          <w:szCs w:val="24"/>
        </w:rPr>
        <w:br/>
        <w:t xml:space="preserve">       
油库内的建、构筑物可以把使用功能相近或者相似，可以合建在一起的尽量合建在一起，节约用地，节省投资，同时不影响其使用功能，我们现在的设计过程中都贯彻了这一原则，对于改造油库，尽量的保留原有能够使用的建构筑物，同时，对于新建建、构筑物尽量执行这一原则，在不影响其使用功能和总体布置的前提下，能够和建的就建在一起，节省投资。对于新建油库，尽量把综合楼、站控室、库控室、化验室等合建在一起，消防泵房、变配电以及车库尽量合建在一起。对于管道配套油库，管道分油站用电量较小，配电间不需要单独修建，尽可能与油库配电间和在一起；对于管道分输泵站，站场用电为高压电，用电量较大，需要新建变配电间，可以考虑从站场给油库引低压电，把油库配电间需要的面积提供给管道院，与站场变配电合建在一起。同时要是管道下载油库，应考虑站场位置应该尽量的靠近办公楼，以便站空室和办公楼合建在一起，有利于管理，节省投资。</w:t>
      </w:r>
      <w:r>
        <w:rPr>
          <w:color w:val="000000"/>
          <w:sz w:val="24"/>
          <w:szCs w:val="24"/>
        </w:rPr>
        <w:br/>
        <w:t xml:space="preserve">       
消防泵房在满足安全间距的前提下，尽量靠近罐区，有利于消防安全。油污水处理装置应该尽量的布置在地势较低的角落里，有利于油库排水处理，又不影响美观。</w:t>
      </w:r>
      <w:r>
        <w:rPr>
          <w:color w:val="000000"/>
          <w:sz w:val="24"/>
          <w:szCs w:val="24"/>
        </w:rPr>
        <w:br/>
        <w:t xml:space="preserve">       
储油罐区：</w:t>
      </w:r>
      <w:r>
        <w:rPr>
          <w:color w:val="000000"/>
          <w:sz w:val="24"/>
          <w:szCs w:val="24"/>
        </w:rPr>
        <w:br/>
        <w:t xml:space="preserve">       
在油库中，最重要的部分就是储油罐区，总图布置也是围绕着储油罐区的布置而作相应的调整。首先，储油罐区的布置要满足防火安全间距，按照规范的要求，拱顶油罐之间的距离最小为相邻油罐中直径最大的罐直径的0.6倍，内服顶罐为0.4倍的间距。同时，油罐到防火堤的距离不小于罐高的一般；其次在满足安全距离的情况下，要考虑排与排之间的距离，要能够满足工艺管道的敷设。在平面布置方面，要尽量的利用地形条件，在规范规定的范围内，尽可能的巴油罐集中在一起布置，少分罐区，减少消防道路和节约用地，也可以方便工艺流程。同时可以在条件允许的情况下，预留部分油罐用地，以供以后油库发展生产所用。例如长岭油库，充分的结合地形条件，在满足规范要求的前提下，把油罐区集中在一个罐区里面，即可以减少用地，节省投足，又方便工艺流程。在竖向设计方面，储油罐区尽量布置在油库中比较高的位置，有利于油库排水，不致于把雨水积在油罐区，影响油罐的基础，同时也有利于工艺流程。在靠近山体的地方，可以根据现场的情况，利用山体当罐区的防火堤，油罐罐壁距离山体不能小于1.5m，同时要能够满足消防要求。</w:t>
      </w:r>
      <w:r>
        <w:rPr>
          <w:color w:val="000000"/>
          <w:sz w:val="24"/>
          <w:szCs w:val="24"/>
        </w:rPr>
        <w:br/>
        <w:t xml:space="preserve">       
总之，油库的总平面布置比较复杂，总平面布置要在满足规范的前提下进行布置。尽量做到分区明确、布局紧凑、流程顺畅、本质安全、节约投资、绿化美观、方便管理、提高效益。同时在设计过程中充分的利用现有的地形条件和库外市政条件，紧凑合理的布局，设计出最好的方案。</w:t>
      </w:r>
      <w:r>
        <w:rPr>
          <w:color w:val="000000"/>
          <w:sz w:val="24"/>
          <w:szCs w:val="24"/>
        </w:rPr>
        <w:br/>
        <w:t xml:space="preserve">参考文献：</w:t>
      </w:r>
      <w:r>
        <w:rPr>
          <w:color w:val="000000"/>
          <w:sz w:val="24"/>
          <w:szCs w:val="24"/>
        </w:rPr>
        <w:br/>
        <w:t xml:space="preserve">[1]
中华人民共和国国家标准《石油库设计规范》，（GB50074-2002），主编部门：中国石油化工集团公司。中国计划出版社出版，2003年。</w:t>
      </w:r>
      <w:r>
        <w:rPr>
          <w:color w:val="000000"/>
          <w:sz w:val="24"/>
          <w:szCs w:val="24"/>
        </w:rPr>
        <w:br/>
        <w:t xml:space="preserve">[2]《中国石化销售企业油库建设标准》，中国石化股份有限公司油品销售事业部
，2005年1月实施。</w:t>
      </w:r>
      <w:r>
        <w:rPr>
          <w:color w:val="000000"/>
          <w:sz w:val="24"/>
          <w:szCs w:val="24"/>
        </w:rPr>
        <w:br/>
        <w:t xml:space="preserve">[3]《工业企业总平面设计》，雷明编著，陕西科学技术出版社，1998年元月。</w:t>
      </w:r>
      <w:r>
        <w:rPr>
          <w:color w:val="000000"/>
          <w:sz w:val="24"/>
          <w:szCs w:val="24"/>
        </w:rPr>
        <w:br/>
        <w:t xml:space="preserve">[4]《工业企业总图运输设计常用规范摘编》，化工部总图运输设计技术中心站编。
</w:t>
      </w:r>
    </w:p>
    <w:sectPr xmlns:w="http://schemas.openxmlformats.org/wordprocessingml/2006/main" w:rsidR="00AC197E" w:rsidRPr="00DF064E" w:rsidSect="000F6147">
      <w:pgSz w:w="11906" w:h="16838" w:orient="portrait" w:code="9"/>
      <w:pgMar w:top="1417" w:right="1701" w:bottom="1417" w:left="1701" w:header="708" w:footer="708" w:gutter="0"/>
      <w:cols w:space="708" w:num="1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1261501">
    <w:multiLevelType w:val="hybridMultilevel"/>
    <w:lvl w:ilvl="0" w:tplc="81181754">
      <w:start w:val="1"/>
      <w:numFmt w:val="decimal"/>
      <w:lvlText w:val="%1."/>
      <w:lvlJc w:val="left"/>
      <w:pPr>
        <w:ind w:left="720" w:hanging="360"/>
      </w:pPr>
    </w:lvl>
    <w:lvl w:ilvl="1" w:tplc="81181754" w:tentative="1">
      <w:start w:val="1"/>
      <w:numFmt w:val="lowerLetter"/>
      <w:lvlText w:val="%2."/>
      <w:lvlJc w:val="left"/>
      <w:pPr>
        <w:ind w:left="1440" w:hanging="360"/>
      </w:pPr>
    </w:lvl>
    <w:lvl w:ilvl="2" w:tplc="81181754" w:tentative="1">
      <w:start w:val="1"/>
      <w:numFmt w:val="lowerRoman"/>
      <w:lvlText w:val="%3."/>
      <w:lvlJc w:val="right"/>
      <w:pPr>
        <w:ind w:left="2160" w:hanging="180"/>
      </w:pPr>
    </w:lvl>
    <w:lvl w:ilvl="3" w:tplc="81181754" w:tentative="1">
      <w:start w:val="1"/>
      <w:numFmt w:val="decimal"/>
      <w:lvlText w:val="%4."/>
      <w:lvlJc w:val="left"/>
      <w:pPr>
        <w:ind w:left="2880" w:hanging="360"/>
      </w:pPr>
    </w:lvl>
    <w:lvl w:ilvl="4" w:tplc="81181754" w:tentative="1">
      <w:start w:val="1"/>
      <w:numFmt w:val="lowerLetter"/>
      <w:lvlText w:val="%5."/>
      <w:lvlJc w:val="left"/>
      <w:pPr>
        <w:ind w:left="3600" w:hanging="360"/>
      </w:pPr>
    </w:lvl>
    <w:lvl w:ilvl="5" w:tplc="81181754" w:tentative="1">
      <w:start w:val="1"/>
      <w:numFmt w:val="lowerRoman"/>
      <w:lvlText w:val="%6."/>
      <w:lvlJc w:val="right"/>
      <w:pPr>
        <w:ind w:left="4320" w:hanging="180"/>
      </w:pPr>
    </w:lvl>
    <w:lvl w:ilvl="6" w:tplc="81181754" w:tentative="1">
      <w:start w:val="1"/>
      <w:numFmt w:val="decimal"/>
      <w:lvlText w:val="%7."/>
      <w:lvlJc w:val="left"/>
      <w:pPr>
        <w:ind w:left="5040" w:hanging="360"/>
      </w:pPr>
    </w:lvl>
    <w:lvl w:ilvl="7" w:tplc="81181754" w:tentative="1">
      <w:start w:val="1"/>
      <w:numFmt w:val="lowerLetter"/>
      <w:lvlText w:val="%8."/>
      <w:lvlJc w:val="left"/>
      <w:pPr>
        <w:ind w:left="5760" w:hanging="360"/>
      </w:pPr>
    </w:lvl>
    <w:lvl w:ilvl="8" w:tplc="811817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61500">
    <w:multiLevelType w:val="hybridMultilevel"/>
    <w:lvl w:ilvl="0" w:tplc="26821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51261500">
    <w:abstractNumId w:val="51261500"/>
  </w:num>
  <w:num w:numId="51261501">
    <w:abstractNumId w:val="5126150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
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fontTable" Target="fontTable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5" Type="http://schemas.openxmlformats.org/officeDocument/2006/relationships/webSettings" Target="webSettings.xml"/>
<Relationship Id="rId4" Type="http://schemas.openxmlformats.org/officeDocument/2006/relationships/settings" Target="settings.xml"/>
<Relationship Id="rId9" Type="http://schemas.openxmlformats.org/officeDocument/2006/relationships/theme" Target="theme/theme1.xml"/>
<Relationship Id="rId10" Type="http://schemas.openxmlformats.org/officeDocument/2006/relationships/comments" Target="comments.xml"/>
<Relationship Id="rId958429092" Type="http://schemas.microsoft.com/office/2011/relationships/commentsExtended" Target="commentsExtended.xml"/></Relationships>
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6</cp:revision>
  <dcterms:created xsi:type="dcterms:W3CDTF">2012-01-10T09:29:00Z</dcterms:created>
  <dcterms:modified xsi:type="dcterms:W3CDTF">2012-02-06T10:43:00Z</dcterms:modified>
</cp:coreProperties>
</file>