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120" w:after="120" w:line="360" w:lineRule="auto"/>
      </w:pPr>
      <w:r>
        <w:rPr>
          <w:rFonts w:ascii="Times New Roman" w:hAnsi="Times New Roman" w:eastAsia="黑体"/>
          <w:b/>
          <w:sz w:val="32"/>
        </w:rPr>
        <w:t>3.2.4  库区道路规划</w:t>
      </w:r>
    </w:p>
    <w:p>
      <w:pPr>
        <w:keepNext/>
        <w:widowControl/>
        <w:spacing w:before="100" w:after="60" w:line="360" w:lineRule="auto"/>
      </w:pPr>
      <w:r>
        <w:rPr>
          <w:rFonts w:ascii="Times New Roman" w:hAnsi="Times New Roman" w:eastAsia="黑体"/>
          <w:b/>
          <w:sz w:val="24"/>
        </w:rPr>
        <w:t>（1）设计依据及主要参数</w:t>
      </w:r>
    </w:p>
    <w:p>
      <w:pPr>
        <w:widowControl/>
        <w:spacing w:line="360" w:lineRule="auto"/>
        <w:ind w:firstLine="480"/>
        <w:jc w:val="both"/>
      </w:pPr>
      <w:r>
        <w:rPr>
          <w:rFonts w:ascii="Times New Roman" w:hAnsi="Times New Roman" w:eastAsia="宋体"/>
          <w:b w:val="0"/>
          <w:sz w:val="24"/>
        </w:rPr>
        <w:t>本项目为二级石油库，实际储罐总容量为8.0万m³，建设用地约52万m²，场址位于广州市黄埔区广深公路主干道两侧。库区道路依据现行《石油库设计规范》GB 50074—2014第5.2节进行设计，并结合油罐车运输、消防救援、设备检修和人员疏散要求确定。道路技术指标同时参考《油库加油站设计数据图表手册》和《油库毕业设计指导书》</w:t>
      </w:r>
      <w:r>
        <w:rPr>
          <w:rFonts w:ascii="Times New Roman" w:hAnsi="Times New Roman" w:eastAsia="宋体"/>
          <w:b w:val="0"/>
          <w:sz w:val="24"/>
          <w:vertAlign w:val="superscript"/>
        </w:rPr>
        <w:t>[18]</w:t>
      </w:r>
      <w:r>
        <w:rPr>
          <w:rFonts w:ascii="Times New Roman" w:hAnsi="Times New Roman" w:eastAsia="宋体"/>
          <w:b w:val="0"/>
          <w:sz w:val="24"/>
          <w:vertAlign w:val="superscript"/>
        </w:rPr>
        <w:t>[19]</w:t>
      </w:r>
      <w:r>
        <w:rPr>
          <w:rFonts w:ascii="Times New Roman" w:hAnsi="Times New Roman" w:eastAsia="宋体"/>
          <w:b w:val="0"/>
          <w:sz w:val="24"/>
        </w:rPr>
        <w:t>。</w:t>
      </w:r>
    </w:p>
    <w:p>
      <w:pPr>
        <w:widowControl/>
        <w:spacing w:line="360" w:lineRule="auto"/>
        <w:ind w:firstLine="480"/>
        <w:jc w:val="both"/>
      </w:pPr>
      <w:r>
        <w:rPr>
          <w:rFonts w:ascii="Times New Roman" w:hAnsi="Times New Roman" w:eastAsia="宋体"/>
          <w:b w:val="0"/>
          <w:sz w:val="24"/>
        </w:rPr>
        <w:t>GB 50074—2014第5.2.8条规定，二级石油库储罐区和装卸区消防车道宽度不应小于6.0m，其中路面宽度不应小于4.0m。本设计在满足规范底线的基础上，将罐区消防主干道、公路装车区主干道路面宽度取6.0m，道路总宽度按不小于7.0m控制；巡检及辅助道路路面宽度取3.5～4.0m。</w:t>
      </w:r>
    </w:p>
    <w:p>
      <w:pPr>
        <w:keepNext/>
        <w:widowControl/>
        <w:spacing w:before="80" w:after="80" w:line="360" w:lineRule="auto"/>
        <w:jc w:val="center"/>
      </w:pPr>
      <w:r>
        <w:rPr>
          <w:rFonts w:ascii="Times New Roman" w:hAnsi="Times New Roman" w:eastAsia="宋体"/>
          <w:b w:val="0"/>
          <w:sz w:val="21"/>
        </w:rPr>
        <w:t>表3-×  库区道路主要设计参数</w:t>
      </w:r>
    </w:p>
    <w:tbl>
      <w:tblPr>
        <w:tblStyle w:val="TableGrid"/>
        <w:tblW w:type="dxa" w:w="9360"/>
        <w:jc w:val="center"/>
        <w:tblLayout w:type="fixed"/>
        <w:tblLook w:firstColumn="1" w:firstRow="1" w:lastColumn="0" w:lastRow="0" w:noHBand="0" w:noVBand="1" w:val="04A0"/>
        <w:tblInd w:w="0" w:type="dxa"/>
      </w:tblPr>
      <w:tblGrid>
        <w:gridCol w:w="1850"/>
        <w:gridCol w:w="2750"/>
        <w:gridCol w:w="2150"/>
        <w:gridCol w:w="2610"/>
      </w:tblGrid>
      <w:tr>
        <w:trPr>
          <w:tblHeader w:val="true"/>
        </w:trPr>
        <w:tc>
          <w:tcPr>
            <w:tcW w:type="dxa" w:w="1850"/>
            <w:vAlign w:val="center"/>
            <w:tcMar>
              <w:top w:w="70" w:type="dxa"/>
              <w:bottom w:w="70" w:type="dxa"/>
              <w:start w:w="80" w:type="dxa"/>
              <w:end w:w="80" w:type="dxa"/>
            </w:tcMar>
            <w:shd w:fill="D9EAF7"/>
          </w:tcPr>
          <w:p>
            <w:pPr>
              <w:spacing w:before="0" w:after="0" w:line="240" w:lineRule="exact"/>
              <w:jc w:val="center"/>
            </w:pPr>
            <w:r/>
            <w:r>
              <w:rPr>
                <w:rFonts w:ascii="Times New Roman" w:hAnsi="Times New Roman" w:eastAsia="黑体"/>
                <w:b/>
                <w:sz w:val="18"/>
              </w:rPr>
              <w:t>设计项目</w:t>
            </w:r>
          </w:p>
        </w:tc>
        <w:tc>
          <w:tcPr>
            <w:tcW w:type="dxa" w:w="2750"/>
            <w:vAlign w:val="center"/>
            <w:tcMar>
              <w:top w:w="70" w:type="dxa"/>
              <w:bottom w:w="70" w:type="dxa"/>
              <w:start w:w="80" w:type="dxa"/>
              <w:end w:w="80" w:type="dxa"/>
            </w:tcMar>
            <w:shd w:fill="D9EAF7"/>
          </w:tcPr>
          <w:p>
            <w:pPr>
              <w:spacing w:before="0" w:after="0" w:line="240" w:lineRule="exact"/>
              <w:jc w:val="center"/>
            </w:pPr>
            <w:r/>
            <w:r>
              <w:rPr>
                <w:rFonts w:ascii="Times New Roman" w:hAnsi="Times New Roman" w:eastAsia="黑体"/>
                <w:b/>
                <w:sz w:val="18"/>
              </w:rPr>
              <w:t>规范要求</w:t>
            </w:r>
          </w:p>
        </w:tc>
        <w:tc>
          <w:tcPr>
            <w:tcW w:type="dxa" w:w="2150"/>
            <w:vAlign w:val="center"/>
            <w:tcMar>
              <w:top w:w="70" w:type="dxa"/>
              <w:bottom w:w="70" w:type="dxa"/>
              <w:start w:w="80" w:type="dxa"/>
              <w:end w:w="80" w:type="dxa"/>
            </w:tcMar>
            <w:shd w:fill="D9EAF7"/>
          </w:tcPr>
          <w:p>
            <w:pPr>
              <w:spacing w:before="0" w:after="0" w:line="240" w:lineRule="exact"/>
              <w:jc w:val="center"/>
            </w:pPr>
            <w:r/>
            <w:r>
              <w:rPr>
                <w:rFonts w:ascii="Times New Roman" w:hAnsi="Times New Roman" w:eastAsia="黑体"/>
                <w:b/>
                <w:sz w:val="18"/>
              </w:rPr>
              <w:t>本设计取值</w:t>
            </w:r>
          </w:p>
        </w:tc>
        <w:tc>
          <w:tcPr>
            <w:tcW w:type="dxa" w:w="2610"/>
            <w:vAlign w:val="center"/>
            <w:tcMar>
              <w:top w:w="70" w:type="dxa"/>
              <w:bottom w:w="70" w:type="dxa"/>
              <w:start w:w="80" w:type="dxa"/>
              <w:end w:w="80" w:type="dxa"/>
            </w:tcMar>
            <w:shd w:fill="D9EAF7"/>
          </w:tcPr>
          <w:p>
            <w:pPr>
              <w:spacing w:before="0" w:after="0" w:line="240" w:lineRule="exact"/>
              <w:jc w:val="center"/>
            </w:pPr>
            <w:r/>
            <w:r>
              <w:rPr>
                <w:rFonts w:ascii="Times New Roman" w:hAnsi="Times New Roman" w:eastAsia="黑体"/>
                <w:b/>
                <w:sz w:val="18"/>
              </w:rPr>
              <w:t>依据或说明</w:t>
            </w:r>
          </w:p>
        </w:tc>
      </w:tr>
      <w:tr>
        <w:tc>
          <w:tcPr>
            <w:tcW w:type="dxa" w:w="18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消防主干道</w:t>
            </w:r>
          </w:p>
        </w:tc>
        <w:tc>
          <w:tcPr>
            <w:tcW w:type="dxa" w:w="27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车道宽度≥6.0m，路面宽度≥4.0m</w:t>
            </w:r>
          </w:p>
        </w:tc>
        <w:tc>
          <w:tcPr>
            <w:tcW w:type="dxa" w:w="21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路面6.0m，总宽≥7.0m</w:t>
            </w:r>
          </w:p>
        </w:tc>
        <w:tc>
          <w:tcPr>
            <w:tcW w:type="dxa" w:w="261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GB 50074—2014第5.2.8条</w:t>
            </w:r>
          </w:p>
        </w:tc>
      </w:tr>
      <w:tr>
        <w:tc>
          <w:tcPr>
            <w:tcW w:type="dxa" w:w="18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巡检及辅助道路</w:t>
            </w:r>
          </w:p>
        </w:tc>
        <w:tc>
          <w:tcPr>
            <w:tcW w:type="dxa" w:w="27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按车辆通行及消防到达条件确定</w:t>
            </w:r>
          </w:p>
        </w:tc>
        <w:tc>
          <w:tcPr>
            <w:tcW w:type="dxa" w:w="21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路面3.5～4.0m</w:t>
            </w:r>
          </w:p>
        </w:tc>
        <w:tc>
          <w:tcPr>
            <w:tcW w:type="dxa" w:w="261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结合手册单车道指标取值</w:t>
            </w:r>
          </w:p>
        </w:tc>
      </w:tr>
      <w:tr>
        <w:tc>
          <w:tcPr>
            <w:tcW w:type="dxa" w:w="18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内缘转弯半径</w:t>
            </w:r>
          </w:p>
        </w:tc>
        <w:tc>
          <w:tcPr>
            <w:tcW w:type="dxa" w:w="27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不宜小于12m</w:t>
            </w:r>
          </w:p>
        </w:tc>
        <w:tc>
          <w:tcPr>
            <w:tcW w:type="dxa" w:w="21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一般路段≥12m；装车区按车辆轨迹复核</w:t>
            </w:r>
          </w:p>
        </w:tc>
        <w:tc>
          <w:tcPr>
            <w:tcW w:type="dxa" w:w="261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GB 50074—2014第5.2.9条</w:t>
            </w:r>
          </w:p>
        </w:tc>
      </w:tr>
      <w:tr>
        <w:tc>
          <w:tcPr>
            <w:tcW w:type="dxa" w:w="18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消防车道净空</w:t>
            </w:r>
          </w:p>
        </w:tc>
        <w:tc>
          <w:tcPr>
            <w:tcW w:type="dxa" w:w="27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不应小于5.0m</w:t>
            </w:r>
          </w:p>
        </w:tc>
        <w:tc>
          <w:tcPr>
            <w:tcW w:type="dxa" w:w="21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≥5.0m</w:t>
            </w:r>
          </w:p>
        </w:tc>
        <w:tc>
          <w:tcPr>
            <w:tcW w:type="dxa" w:w="261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GB 50074—2014第5.2.9条</w:t>
            </w:r>
          </w:p>
        </w:tc>
      </w:tr>
      <w:tr>
        <w:tc>
          <w:tcPr>
            <w:tcW w:type="dxa" w:w="18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道路纵坡</w:t>
            </w:r>
          </w:p>
        </w:tc>
        <w:tc>
          <w:tcPr>
            <w:tcW w:type="dxa" w:w="27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危险品运输道路≤6%</w:t>
            </w:r>
          </w:p>
        </w:tc>
        <w:tc>
          <w:tcPr>
            <w:tcW w:type="dxa" w:w="21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主干道≤6%；装车停车段≤1%</w:t>
            </w:r>
          </w:p>
        </w:tc>
        <w:tc>
          <w:tcPr>
            <w:tcW w:type="dxa" w:w="261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GB 50074—2014第5.2.12条</w:t>
            </w:r>
          </w:p>
        </w:tc>
      </w:tr>
      <w:tr>
        <w:tc>
          <w:tcPr>
            <w:tcW w:type="dxa" w:w="18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路面横坡</w:t>
            </w:r>
          </w:p>
        </w:tc>
        <w:tc>
          <w:tcPr>
            <w:tcW w:type="dxa" w:w="27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结合排水确定</w:t>
            </w:r>
          </w:p>
        </w:tc>
        <w:tc>
          <w:tcPr>
            <w:tcW w:type="dxa" w:w="21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1.5%～2.0%</w:t>
            </w:r>
          </w:p>
        </w:tc>
        <w:tc>
          <w:tcPr>
            <w:tcW w:type="dxa" w:w="261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坡向道路排水系统</w:t>
            </w:r>
          </w:p>
        </w:tc>
      </w:tr>
      <w:tr>
        <w:tc>
          <w:tcPr>
            <w:tcW w:type="dxa" w:w="18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车道至防火堤外堤脚</w:t>
            </w:r>
          </w:p>
        </w:tc>
        <w:tc>
          <w:tcPr>
            <w:tcW w:type="dxa" w:w="27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≥3.0m</w:t>
            </w:r>
          </w:p>
        </w:tc>
        <w:tc>
          <w:tcPr>
            <w:tcW w:type="dxa" w:w="21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≥3.0m</w:t>
            </w:r>
          </w:p>
        </w:tc>
        <w:tc>
          <w:tcPr>
            <w:tcW w:type="dxa" w:w="261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GB 50074—2014第5.2.7条</w:t>
            </w:r>
          </w:p>
        </w:tc>
      </w:tr>
      <w:tr>
        <w:tc>
          <w:tcPr>
            <w:tcW w:type="dxa" w:w="18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罐区消防车道路面标高</w:t>
            </w:r>
          </w:p>
        </w:tc>
        <w:tc>
          <w:tcPr>
            <w:tcW w:type="dxa" w:w="27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宜高出堤外地面≥0.5m；较高地势处不宜低于0.3m</w:t>
            </w:r>
          </w:p>
        </w:tc>
        <w:tc>
          <w:tcPr>
            <w:tcW w:type="dxa" w:w="21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一般按高差≥0.5m控制</w:t>
            </w:r>
          </w:p>
        </w:tc>
        <w:tc>
          <w:tcPr>
            <w:tcW w:type="dxa" w:w="261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GB 50074—2014第5.2.6条</w:t>
            </w:r>
          </w:p>
        </w:tc>
      </w:tr>
      <w:tr>
        <w:tc>
          <w:tcPr>
            <w:tcW w:type="dxa" w:w="18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回车场</w:t>
            </w:r>
          </w:p>
        </w:tc>
        <w:tc>
          <w:tcPr>
            <w:tcW w:type="dxa" w:w="27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尽头路及路口间距超限时设置</w:t>
            </w:r>
          </w:p>
        </w:tc>
        <w:tc>
          <w:tcPr>
            <w:tcW w:type="dxa" w:w="215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重型消防车控制时18m×18m</w:t>
            </w:r>
          </w:p>
        </w:tc>
        <w:tc>
          <w:tcPr>
            <w:tcW w:type="dxa" w:w="2610"/>
            <w:vAlign w:val="center"/>
            <w:tcMar>
              <w:top w:w="70" w:type="dxa"/>
              <w:bottom w:w="70" w:type="dxa"/>
              <w:start w:w="80" w:type="dxa"/>
              <w:end w:w="80" w:type="dxa"/>
            </w:tcMar>
          </w:tcPr>
          <w:p>
            <w:pPr>
              <w:spacing w:before="0" w:after="0" w:line="240" w:lineRule="exact"/>
              <w:jc w:val="center"/>
            </w:pPr>
            <w:r/>
            <w:r>
              <w:rPr>
                <w:rFonts w:ascii="Times New Roman" w:hAnsi="Times New Roman" w:eastAsia="宋体"/>
                <w:b w:val="0"/>
                <w:sz w:val="18"/>
              </w:rPr>
              <w:t>GB 50074—2014第5.2.10条；尺寸为设计值</w:t>
            </w:r>
          </w:p>
        </w:tc>
      </w:tr>
    </w:tbl>
    <w:p>
      <w:pPr>
        <w:keepNext/>
        <w:widowControl/>
        <w:spacing w:before="100" w:after="60" w:line="360" w:lineRule="auto"/>
      </w:pPr>
      <w:r>
        <w:rPr>
          <w:rFonts w:ascii="Times New Roman" w:hAnsi="Times New Roman" w:eastAsia="黑体"/>
          <w:b/>
          <w:sz w:val="24"/>
        </w:rPr>
        <w:t>（2）储罐区消防道路</w:t>
      </w:r>
    </w:p>
    <w:p>
      <w:pPr>
        <w:widowControl/>
        <w:spacing w:line="360" w:lineRule="auto"/>
        <w:ind w:firstLine="480"/>
        <w:jc w:val="both"/>
      </w:pPr>
      <w:r>
        <w:rPr>
          <w:rFonts w:ascii="Times New Roman" w:hAnsi="Times New Roman" w:eastAsia="宋体"/>
          <w:b w:val="0"/>
          <w:sz w:val="24"/>
        </w:rPr>
        <w:t>92号汽油、95号汽油和0号柴油罐组外围均设置连续环形消防车道，并与库内消防主干道连通。按照GB 50074—2014第5.2.3条，储罐至少与1条消防车道相邻，储罐中心至少与2条消防车道的距离均不大于120m；条件受限时，储罐中心至最近消防车道的距离不大于80m。本设计按储罐中心至最近消防车道不大于80m控制，并在总平面图中逐罐校核。</w:t>
      </w:r>
    </w:p>
    <w:p>
      <w:pPr>
        <w:widowControl/>
        <w:spacing w:line="360" w:lineRule="auto"/>
        <w:ind w:firstLine="480"/>
        <w:jc w:val="both"/>
      </w:pPr>
      <w:r>
        <w:rPr>
          <w:rFonts w:ascii="Times New Roman" w:hAnsi="Times New Roman" w:eastAsia="宋体"/>
          <w:b w:val="0"/>
          <w:sz w:val="24"/>
        </w:rPr>
        <w:t>多个罐组共用同一环形消防车道时，环道内罐组总容量不大于12万m³，相邻罐组防火堤外堤脚线之间设置宽度不小于7.0m的消防空地，符合GB 50074—2014第5.2.2条。储罐区车辆出入口设置不少于2处，且位于不同方位，直接与消防主干道相连，符合该规范第5.2.11条第3款。</w:t>
      </w:r>
    </w:p>
    <w:p>
      <w:pPr>
        <w:widowControl/>
        <w:spacing w:line="360" w:lineRule="auto"/>
        <w:ind w:firstLine="480"/>
        <w:jc w:val="both"/>
      </w:pPr>
      <w:r>
        <w:rPr>
          <w:rFonts w:ascii="Times New Roman" w:hAnsi="Times New Roman" w:eastAsia="宋体"/>
          <w:b w:val="0"/>
          <w:sz w:val="24"/>
        </w:rPr>
        <w:t>按照GB 50074—2014第5.2.10条，尽头式消防车道末端设置回车场；两个路口间消防车道长度大于300m时，在中段增设回车场。本项目罐区道路施工图布置时应逐段统计路口间距，超过300m的路段按重型消防车通行条件设置18m×18m回车场。</w:t>
      </w:r>
    </w:p>
    <w:p>
      <w:pPr>
        <w:keepNext/>
        <w:widowControl/>
        <w:spacing w:before="100" w:after="60" w:line="360" w:lineRule="auto"/>
      </w:pPr>
      <w:r>
        <w:rPr>
          <w:rFonts w:ascii="Times New Roman" w:hAnsi="Times New Roman" w:eastAsia="黑体"/>
          <w:b/>
          <w:sz w:val="24"/>
        </w:rPr>
        <w:t>（3）装车区、辅助区及出入口道路</w:t>
      </w:r>
    </w:p>
    <w:p>
      <w:pPr>
        <w:widowControl/>
        <w:spacing w:line="360" w:lineRule="auto"/>
        <w:ind w:firstLine="480"/>
        <w:jc w:val="both"/>
      </w:pPr>
      <w:r>
        <w:rPr>
          <w:rFonts w:ascii="Times New Roman" w:hAnsi="Times New Roman" w:eastAsia="宋体"/>
          <w:b w:val="0"/>
          <w:sz w:val="24"/>
        </w:rPr>
        <w:t>公路装车区靠近广深公路布置，设置独立油罐车出入口和单向循环车道。车辆依次通过入口检查区、等候区、装车鹤位、复核区和出口，避免倒车进入鹤位及交叉调头。装车区主干道路面宽度取6.0m；装车鹤位和停车段纵坡不大于1%，并设置驻车制动确认、限位挡车设施和防溜车轮挡。</w:t>
      </w:r>
    </w:p>
    <w:p>
      <w:pPr>
        <w:widowControl/>
        <w:spacing w:line="360" w:lineRule="auto"/>
        <w:ind w:firstLine="480"/>
        <w:jc w:val="both"/>
      </w:pPr>
      <w:r>
        <w:rPr>
          <w:rFonts w:ascii="Times New Roman" w:hAnsi="Times New Roman" w:eastAsia="宋体"/>
          <w:b w:val="0"/>
          <w:sz w:val="24"/>
        </w:rPr>
        <w:t>辅助生产区沿消防泵房、变配电间、机修间、化验室及油气回收装置设置3.5～4.0m宽检修道路。生产运输与行政交通分流，行政管理区和公路装车区分别设置直接通往库外道路的车辆出入口。库外连接道路路面宽度不小于储罐区消防车道宽度，本设计取6.0m，并在入口内侧设置车辆核验和排队缓冲段，防止车辆占用广深公路。上述设置符合GB 50074—2014第5.2.5条及第5.2.11条。</w:t>
      </w:r>
    </w:p>
    <w:p>
      <w:pPr>
        <w:keepNext/>
        <w:widowControl/>
        <w:spacing w:before="100" w:after="60" w:line="360" w:lineRule="auto"/>
      </w:pPr>
      <w:r>
        <w:rPr>
          <w:rFonts w:ascii="Times New Roman" w:hAnsi="Times New Roman" w:eastAsia="黑体"/>
          <w:b/>
          <w:sz w:val="24"/>
        </w:rPr>
        <w:t>（4）设计车辆与路面结构</w:t>
      </w:r>
    </w:p>
    <w:p>
      <w:pPr>
        <w:widowControl/>
        <w:spacing w:line="360" w:lineRule="auto"/>
        <w:ind w:firstLine="480"/>
        <w:jc w:val="both"/>
      </w:pPr>
      <w:r>
        <w:rPr>
          <w:rFonts w:ascii="Times New Roman" w:hAnsi="Times New Roman" w:eastAsia="宋体"/>
          <w:b w:val="0"/>
          <w:sz w:val="24"/>
        </w:rPr>
        <w:t>道路平面按刚性油罐车和半挂油罐汽车列车两类车辆校核，其中生产运输通道以六轴半挂油罐汽车列车作为控制车型，合法装载状态最大总质量按49t上限校核；车辆外廓尺寸、轴荷和质量限值执行现行《汽车、挂车及汽车列车外廓尺寸、轴荷及质量限值》GB 1589—2016。一般路段内缘转弯半径不小于12m；装车区入口、鹤位前弯道及回车场应根据拟采购车辆的轴距、前后悬和铰接点参数进行扫掠轨迹校核，必要时扩大有效路面，不得仅以名义半径判定通行能力。</w:t>
      </w:r>
    </w:p>
    <w:p>
      <w:pPr>
        <w:widowControl/>
        <w:spacing w:line="360" w:lineRule="auto"/>
        <w:ind w:firstLine="480"/>
        <w:jc w:val="both"/>
      </w:pPr>
      <w:r>
        <w:rPr>
          <w:rFonts w:ascii="Times New Roman" w:hAnsi="Times New Roman" w:eastAsia="宋体"/>
          <w:b w:val="0"/>
          <w:sz w:val="24"/>
        </w:rPr>
        <w:t>主干道和装车区采用重载水泥混凝土路面。路面结构计算按现行《公路水泥混凝土路面设计规范》JTG D40—2011执行，以100kN单轴双轮组标准轴载和设计期实际油罐车轴载谱进行疲劳分析，同时校核合法装载状态下控制车辆的最大轴载。面层厚度、基层形式及地基处理参数由交通量、轴载累计作用次数和岩土工程勘察成果确定，不采用“汽-20、挂-100”作为路面结构设计荷载。</w:t>
      </w:r>
    </w:p>
    <w:p>
      <w:pPr>
        <w:keepNext/>
        <w:widowControl/>
        <w:spacing w:before="100" w:after="60" w:line="360" w:lineRule="auto"/>
      </w:pPr>
      <w:r>
        <w:rPr>
          <w:rFonts w:ascii="Times New Roman" w:hAnsi="Times New Roman" w:eastAsia="黑体"/>
          <w:b/>
          <w:sz w:val="24"/>
        </w:rPr>
        <w:t>（5）两侧地块应急交通与人员疏散</w:t>
      </w:r>
    </w:p>
    <w:p>
      <w:pPr>
        <w:widowControl/>
        <w:spacing w:line="360" w:lineRule="auto"/>
        <w:ind w:firstLine="480"/>
        <w:jc w:val="both"/>
      </w:pPr>
      <w:r>
        <w:rPr>
          <w:rFonts w:ascii="Times New Roman" w:hAnsi="Times New Roman" w:eastAsia="宋体"/>
          <w:b w:val="0"/>
          <w:sz w:val="24"/>
        </w:rPr>
        <w:t>广深公路两侧地块分别形成完整的消防环道、对外出入口和消防车辆到达系统，不将广深公路作为库内循环道路。本阶段不设置未经专项论证和主管部门批准的地下通道或架空连络道。两侧消防力量通过广深公路及周边批准的市政道路相互支援，并在应急预案中明确跨区救援入口、备用路线和交通管制节点；条件具备时可预留专用应急连接设施接口。</w:t>
      </w:r>
    </w:p>
    <w:p>
      <w:pPr>
        <w:widowControl/>
        <w:spacing w:line="360" w:lineRule="auto"/>
        <w:ind w:firstLine="480"/>
        <w:jc w:val="both"/>
      </w:pPr>
      <w:r>
        <w:rPr>
          <w:rFonts w:ascii="Times New Roman" w:hAnsi="Times New Roman" w:eastAsia="宋体"/>
          <w:b w:val="0"/>
          <w:sz w:val="24"/>
        </w:rPr>
        <w:t>库区设置连续专用人行通道，人员通勤路线与油罐车循环线原则上分离，必要交叉处设置人行横道、警示标志和照明。按照GB 50074—2014第6.5.7条，防火堤每个隔堤区域均设置对外人行台阶或坡道，相邻台阶或坡道间距不大于60m。疏散路线避开装车鹤位和油气易积聚区域，并分别通向上风向安全集合点及独立对外出口。</w:t>
      </w:r>
    </w:p>
    <w:p>
      <w:pPr>
        <w:keepNext/>
        <w:widowControl/>
        <w:spacing w:before="100" w:after="60" w:line="360" w:lineRule="auto"/>
      </w:pPr>
      <w:r>
        <w:rPr>
          <w:rFonts w:ascii="Times New Roman" w:hAnsi="Times New Roman" w:eastAsia="黑体"/>
          <w:b/>
          <w:sz w:val="24"/>
        </w:rPr>
        <w:t>（6）排水、照明及道路管控</w:t>
      </w:r>
    </w:p>
    <w:p>
      <w:pPr>
        <w:widowControl/>
        <w:spacing w:line="360" w:lineRule="auto"/>
        <w:ind w:firstLine="480"/>
        <w:jc w:val="both"/>
      </w:pPr>
      <w:r>
        <w:rPr>
          <w:rFonts w:ascii="Times New Roman" w:hAnsi="Times New Roman" w:eastAsia="宋体"/>
          <w:b w:val="0"/>
          <w:sz w:val="24"/>
        </w:rPr>
        <w:t>罐区道路横坡取1.5%～2.0%，径流经边沟和雨水口收集。普通雨水排入库区雨水系统；罐区、泵区和装车区初期雨水及事故水经切换设施进入含油污水系统或事故水收集设施，不得排入广深公路市政雨水管网。排水能力按黄埔区暴雨强度参数复核</w:t>
      </w:r>
      <w:r>
        <w:rPr>
          <w:rFonts w:ascii="Times New Roman" w:hAnsi="Times New Roman" w:eastAsia="宋体"/>
          <w:b w:val="0"/>
          <w:sz w:val="24"/>
          <w:vertAlign w:val="superscript"/>
        </w:rPr>
        <w:t>[25]</w:t>
      </w:r>
      <w:r>
        <w:rPr>
          <w:rFonts w:ascii="Times New Roman" w:hAnsi="Times New Roman" w:eastAsia="宋体"/>
          <w:b w:val="0"/>
          <w:sz w:val="24"/>
        </w:rPr>
        <w:t>。</w:t>
      </w:r>
    </w:p>
    <w:p>
      <w:pPr>
        <w:widowControl/>
        <w:spacing w:line="360" w:lineRule="auto"/>
        <w:ind w:firstLine="480"/>
        <w:jc w:val="both"/>
      </w:pPr>
      <w:r>
        <w:rPr>
          <w:rFonts w:ascii="Times New Roman" w:hAnsi="Times New Roman" w:eastAsia="宋体"/>
          <w:b w:val="0"/>
          <w:sz w:val="24"/>
        </w:rPr>
        <w:t>道路照明按GB 50582—2010执行：主要道路10lx，次要道路5lx，罐车装卸点作业面100lx。爆炸危险区域灯具按GB 50058—2014选型，灯杆不得侵入消防车道净空。</w:t>
      </w:r>
    </w:p>
    <w:p>
      <w:pPr>
        <w:widowControl/>
        <w:spacing w:line="360" w:lineRule="auto"/>
        <w:ind w:firstLine="480"/>
        <w:jc w:val="both"/>
      </w:pPr>
      <w:r>
        <w:rPr>
          <w:rFonts w:ascii="Times New Roman" w:hAnsi="Times New Roman" w:eastAsia="宋体"/>
          <w:b w:val="0"/>
          <w:sz w:val="24"/>
        </w:rPr>
        <w:t>消防车道按GB 5768系列设置标线及限速、限高、限宽和导向标志；主要路口和消防通道设置视频监控与占用报警，车道内严禁停车、堆物和设置固定障碍物。</w:t>
      </w:r>
    </w:p>
    <w:p>
      <w:pPr>
        <w:keepNext/>
        <w:widowControl/>
        <w:spacing w:before="100" w:after="60" w:line="360" w:lineRule="auto"/>
      </w:pPr>
      <w:r>
        <w:rPr>
          <w:rFonts w:ascii="Times New Roman" w:hAnsi="Times New Roman" w:eastAsia="黑体"/>
          <w:b/>
          <w:sz w:val="24"/>
        </w:rPr>
        <w:t>本节引用的参考文献</w:t>
      </w:r>
    </w:p>
    <w:p>
      <w:pPr>
        <w:widowControl/>
        <w:spacing w:line="240" w:lineRule="auto"/>
        <w:ind w:left="420" w:hanging="420"/>
        <w:jc w:val="left"/>
      </w:pPr>
      <w:r>
        <w:rPr>
          <w:rFonts w:ascii="Times New Roman" w:hAnsi="Times New Roman" w:eastAsia="宋体"/>
          <w:b w:val="0"/>
          <w:sz w:val="20"/>
        </w:rPr>
        <w:t>[18] 邢科伟，马秀让，刘占卿. 油库加油站设计数据图表手册[M]. 北京：中国石化出版社，2015：82-83.</w:t>
      </w:r>
    </w:p>
    <w:p>
      <w:pPr>
        <w:widowControl/>
        <w:spacing w:line="240" w:lineRule="auto"/>
        <w:ind w:left="420" w:hanging="420"/>
        <w:jc w:val="left"/>
      </w:pPr>
      <w:r>
        <w:rPr>
          <w:rFonts w:ascii="Times New Roman" w:hAnsi="Times New Roman" w:eastAsia="宋体"/>
          <w:b w:val="0"/>
          <w:sz w:val="20"/>
        </w:rPr>
        <w:t>[19] 油库毕业设计指导书[Z]. 第五章“油库设计”：139-146.</w:t>
      </w:r>
    </w:p>
    <w:p>
      <w:pPr>
        <w:widowControl/>
        <w:spacing w:line="240" w:lineRule="auto"/>
        <w:ind w:left="420" w:hanging="420"/>
        <w:jc w:val="left"/>
      </w:pPr>
      <w:r>
        <w:rPr>
          <w:rFonts w:ascii="Times New Roman" w:hAnsi="Times New Roman" w:eastAsia="宋体"/>
          <w:b w:val="0"/>
          <w:sz w:val="20"/>
        </w:rPr>
        <w:t>[25] 广州市水务局，广州市气象局. 广州市暴雨强度公式编制与设计暴雨雨型研究技术报告（简本）[R/OL]. 2023-03-07[2026-07-18]. https://swj.gz.gov.cn/gkmlpt/content/8/8835/post_8835843.html.</w:t>
      </w:r>
    </w:p>
    <w:sectPr w:rsidR="00FC693F" w:rsidRPr="0006063C" w:rsidSect="00034616">
      <w:pgSz w:w="11906" w:h="16838"/>
      <w:pgMar w:top="1417" w:right="1417" w:bottom="1417"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3.2.4 库区道路规划</dc:title>
  <dc:subject>广州黄埔二级油库毕业设计库区道路规划</dc:subject>
  <dc:creator>裴慧琳</dc:creator>
  <cp:keywords/>
  <dc:description>generated by python-docx</dc:description>
  <cp:lastModifiedBy/>
  <cp:revision>1</cp:revision>
  <dcterms:created xsi:type="dcterms:W3CDTF">2013-12-23T23:15:00Z</dcterms:created>
  <dcterms:modified xsi:type="dcterms:W3CDTF">2013-12-23T23:15:00Z</dcterms:modified>
  <cp:category/>
</cp:coreProperties>
</file>