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92AF6" w14:textId="21C42CA7" w:rsidR="00C757D1" w:rsidRDefault="00B4749F" w:rsidP="00B4749F">
      <w:pPr>
        <w:keepNext/>
        <w:spacing w:after="120" w:line="360" w:lineRule="auto"/>
        <w:jc w:val="left"/>
        <w:rPr>
          <w:rFonts w:ascii="Times New Roman" w:eastAsia="黑体" w:hAnsi="Times New Roman" w:cs="Times New Roman" w:hint="eastAsia"/>
          <w:b/>
          <w:sz w:val="32"/>
        </w:rPr>
      </w:pPr>
      <w:r>
        <w:rPr>
          <w:rFonts w:ascii="Times New Roman" w:eastAsia="黑体" w:hAnsi="Times New Roman" w:cs="Times New Roman" w:hint="eastAsia"/>
          <w:b/>
          <w:sz w:val="32"/>
        </w:rPr>
        <w:t xml:space="preserve">3.2.2  </w:t>
      </w:r>
      <w:r>
        <w:rPr>
          <w:rFonts w:ascii="Times New Roman" w:eastAsia="黑体" w:hAnsi="Times New Roman" w:cs="Times New Roman" w:hint="eastAsia"/>
          <w:b/>
          <w:sz w:val="32"/>
        </w:rPr>
        <w:t>油库的分区</w:t>
      </w:r>
    </w:p>
    <w:p w14:paraId="40EA8CD1" w14:textId="0128F5C9" w:rsidR="00B4749F" w:rsidRDefault="00B4749F" w:rsidP="00B4749F">
      <w:pPr>
        <w:keepNext/>
        <w:spacing w:line="360" w:lineRule="auto"/>
        <w:ind w:firstLine="420"/>
        <w:rPr>
          <w:rFonts w:ascii="Times New Roman" w:eastAsia="宋体" w:hAnsi="Times New Roman" w:cs="Times New Roman" w:hint="eastAsia"/>
          <w:sz w:val="24"/>
        </w:rPr>
      </w:pPr>
      <w:r>
        <w:rPr>
          <w:rFonts w:ascii="Times New Roman" w:eastAsia="宋体" w:hAnsi="Times New Roman" w:cs="Times New Roman" w:hint="eastAsia"/>
          <w:sz w:val="24"/>
        </w:rPr>
        <w:t>根据上一节计算结果，本油库用于等级划分的储罐计算总容量为</w:t>
      </w:r>
      <w:r>
        <w:rPr>
          <w:rFonts w:ascii="Times New Roman" w:eastAsia="宋体" w:hAnsi="Times New Roman" w:cs="Times New Roman" w:hint="eastAsia"/>
          <w:sz w:val="24"/>
        </w:rPr>
        <w:t>65000m</w:t>
      </w:r>
      <w:r>
        <w:rPr>
          <w:rFonts w:ascii="Times New Roman" w:eastAsia="宋体" w:hAnsi="Times New Roman" w:cs="Times New Roman" w:hint="eastAsia"/>
          <w:sz w:val="24"/>
        </w:rPr>
        <w:t>³，属于二级石油库。油库内各类设施在生产操作方式、油气散发程度、火灾危险性和人员活动特点方面存在明显差异，因此必须按照功能和危险程度实施分区布置，使危险作业、辅助生产和行政管理相互协调，并限制无关人员和车辆进入生产作业区域。</w:t>
      </w:r>
      <w:r w:rsidRPr="00B4749F">
        <w:rPr>
          <w:rFonts w:ascii="Times New Roman" w:eastAsia="宋体" w:hAnsi="Times New Roman" w:cs="Times New Roman" w:hint="eastAsia"/>
          <w:sz w:val="18"/>
          <w:vertAlign w:val="superscript"/>
        </w:rPr>
        <w:t>[19][21]</w:t>
      </w:r>
    </w:p>
    <w:p w14:paraId="47001402" w14:textId="690C5D43" w:rsidR="00B4749F" w:rsidRDefault="00B4749F" w:rsidP="00B4749F">
      <w:pPr>
        <w:keepNext/>
        <w:spacing w:line="360" w:lineRule="auto"/>
        <w:ind w:firstLine="420"/>
        <w:rPr>
          <w:rFonts w:ascii="Times New Roman" w:eastAsia="宋体" w:hAnsi="Times New Roman" w:cs="Times New Roman" w:hint="eastAsia"/>
          <w:sz w:val="24"/>
        </w:rPr>
      </w:pPr>
      <w:r>
        <w:rPr>
          <w:rFonts w:ascii="Times New Roman" w:eastAsia="宋体" w:hAnsi="Times New Roman" w:cs="Times New Roman" w:hint="eastAsia"/>
          <w:sz w:val="24"/>
        </w:rPr>
        <w:t>根据现行《石油库设计规范》</w:t>
      </w:r>
      <w:r>
        <w:rPr>
          <w:rFonts w:ascii="Times New Roman" w:eastAsia="宋体" w:hAnsi="Times New Roman" w:cs="Times New Roman" w:hint="eastAsia"/>
          <w:sz w:val="24"/>
        </w:rPr>
        <w:t>GB 50074</w:t>
      </w:r>
      <w:r>
        <w:rPr>
          <w:rFonts w:ascii="Times New Roman" w:eastAsia="宋体" w:hAnsi="Times New Roman" w:cs="Times New Roman" w:hint="eastAsia"/>
          <w:sz w:val="24"/>
        </w:rPr>
        <w:t>—</w:t>
      </w:r>
      <w:r>
        <w:rPr>
          <w:rFonts w:ascii="Times New Roman" w:eastAsia="宋体" w:hAnsi="Times New Roman" w:cs="Times New Roman" w:hint="eastAsia"/>
          <w:sz w:val="24"/>
        </w:rPr>
        <w:t>2014</w:t>
      </w:r>
      <w:r>
        <w:rPr>
          <w:rFonts w:ascii="Times New Roman" w:eastAsia="宋体" w:hAnsi="Times New Roman" w:cs="Times New Roman" w:hint="eastAsia"/>
          <w:sz w:val="24"/>
        </w:rPr>
        <w:t>第</w:t>
      </w:r>
      <w:r>
        <w:rPr>
          <w:rFonts w:ascii="Times New Roman" w:eastAsia="宋体" w:hAnsi="Times New Roman" w:cs="Times New Roman" w:hint="eastAsia"/>
          <w:sz w:val="24"/>
        </w:rPr>
        <w:t>5.1.1</w:t>
      </w:r>
      <w:r>
        <w:rPr>
          <w:rFonts w:ascii="Times New Roman" w:eastAsia="宋体" w:hAnsi="Times New Roman" w:cs="Times New Roman" w:hint="eastAsia"/>
          <w:sz w:val="24"/>
        </w:rPr>
        <w:t>条，石油库总平面应按储罐区、易燃和可燃液体装卸区、辅助作业区和行政管理区进行分区布置。结合本毕业设计采用的章节名称，库区相应划分为储油区、装卸区、辅助生产区和行政管理区四大功能区，其中“储油区”对应规范中的储罐区，“辅助生产区”对应规范中的辅助作业区。四个功能区之外不再单独设置生活区。</w:t>
      </w:r>
    </w:p>
    <w:p w14:paraId="5C9C6A31" w14:textId="77A2C77E" w:rsidR="00B4749F" w:rsidRDefault="00B4749F" w:rsidP="00B4749F">
      <w:pPr>
        <w:keepNext/>
        <w:spacing w:line="360" w:lineRule="auto"/>
        <w:ind w:firstLine="420"/>
        <w:rPr>
          <w:rFonts w:ascii="Times New Roman" w:eastAsia="宋体" w:hAnsi="Times New Roman" w:cs="Times New Roman" w:hint="eastAsia"/>
          <w:sz w:val="24"/>
        </w:rPr>
      </w:pPr>
      <w:r>
        <w:rPr>
          <w:rFonts w:ascii="Times New Roman" w:eastAsia="宋体" w:hAnsi="Times New Roman" w:cs="Times New Roman" w:hint="eastAsia"/>
          <w:sz w:val="24"/>
        </w:rPr>
        <w:t>油库分区应遵循分区明确、布局紧凑、流程顺畅、安全可靠和管理方便的原则。在满足防火间距的前提下，应缩短油品收发管线和公用工程管线，减少生产车辆与办公人员流线的交叉，并为消防救援、设备检修和油库后续发展保留必要条件。</w:t>
      </w:r>
      <w:r w:rsidRPr="00B4749F">
        <w:rPr>
          <w:rFonts w:ascii="Times New Roman" w:eastAsia="宋体" w:hAnsi="Times New Roman" w:cs="Times New Roman" w:hint="eastAsia"/>
          <w:sz w:val="18"/>
          <w:vertAlign w:val="superscript"/>
        </w:rPr>
        <w:t>[18][20]</w:t>
      </w:r>
    </w:p>
    <w:p w14:paraId="457349BD" w14:textId="72E0C367" w:rsidR="00B4749F" w:rsidRDefault="00B4749F" w:rsidP="00B4749F">
      <w:pPr>
        <w:keepNext/>
        <w:spacing w:line="360" w:lineRule="auto"/>
        <w:ind w:firstLine="420"/>
        <w:rPr>
          <w:rFonts w:ascii="Times New Roman" w:eastAsia="宋体" w:hAnsi="Times New Roman" w:cs="Times New Roman" w:hint="eastAsia"/>
          <w:sz w:val="24"/>
        </w:rPr>
      </w:pPr>
      <w:r>
        <w:rPr>
          <w:rFonts w:ascii="Times New Roman" w:eastAsia="宋体" w:hAnsi="Times New Roman" w:cs="Times New Roman" w:hint="eastAsia"/>
          <w:sz w:val="24"/>
        </w:rPr>
        <w:t>本项目拟建于广州市黄埔区穗东街道附近。穗东街道现辖夏园、南湾、庙头和南石市</w:t>
      </w:r>
      <w:r>
        <w:rPr>
          <w:rFonts w:ascii="Times New Roman" w:eastAsia="宋体" w:hAnsi="Times New Roman" w:cs="Times New Roman" w:hint="eastAsia"/>
          <w:sz w:val="24"/>
        </w:rPr>
        <w:t>4</w:t>
      </w:r>
      <w:r>
        <w:rPr>
          <w:rFonts w:ascii="Times New Roman" w:eastAsia="宋体" w:hAnsi="Times New Roman" w:cs="Times New Roman" w:hint="eastAsia"/>
          <w:sz w:val="24"/>
        </w:rPr>
        <w:t>个社区，区域内分布有南海神庙等文物保护单位，属于城市社区、历史文化资源和产业交通条件并存的地区。</w:t>
      </w:r>
      <w:r w:rsidRPr="00B4749F">
        <w:rPr>
          <w:rFonts w:ascii="Times New Roman" w:eastAsia="宋体" w:hAnsi="Times New Roman" w:cs="Times New Roman" w:hint="eastAsia"/>
          <w:sz w:val="18"/>
          <w:vertAlign w:val="superscript"/>
        </w:rPr>
        <w:t>[22]</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因此，油库四区位置不能只按内部工艺关系确定，还应在取得准确用地红线和周边现状图后，复核与居民区、公共建筑、文物保护单位、城市道路和其他重要设施的距离，生产车辆路线不得穿行居民集中区域或影响主要公共交通。</w:t>
      </w:r>
    </w:p>
    <w:p w14:paraId="4D884651" w14:textId="7FFE736E" w:rsidR="00B4749F" w:rsidRDefault="00B4749F" w:rsidP="00B4749F">
      <w:pPr>
        <w:keepNext/>
        <w:spacing w:line="360" w:lineRule="auto"/>
        <w:ind w:firstLine="420"/>
        <w:rPr>
          <w:rFonts w:ascii="Times New Roman" w:eastAsia="宋体" w:hAnsi="Times New Roman" w:cs="Times New Roman" w:hint="eastAsia"/>
          <w:sz w:val="24"/>
        </w:rPr>
      </w:pPr>
      <w:r>
        <w:rPr>
          <w:rFonts w:ascii="Times New Roman" w:eastAsia="宋体" w:hAnsi="Times New Roman" w:cs="Times New Roman" w:hint="eastAsia"/>
          <w:sz w:val="24"/>
        </w:rPr>
        <w:t>黄埔区沿江地区受强降雨、台风、高潮位顶托和城市内涝共同影响的可能性较大，公开的防洪排涝资料记载，穗东街道部分低洼地区曾在台风风暴潮影响下发生内涝水浸。</w:t>
      </w:r>
      <w:r w:rsidRPr="00B4749F">
        <w:rPr>
          <w:rFonts w:ascii="Times New Roman" w:eastAsia="宋体" w:hAnsi="Times New Roman" w:cs="Times New Roman" w:hint="eastAsia"/>
          <w:sz w:val="18"/>
          <w:vertAlign w:val="superscript"/>
        </w:rPr>
        <w:t>[23]</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因此，本油库分区同时执行</w:t>
      </w:r>
      <w:r>
        <w:rPr>
          <w:rFonts w:ascii="Times New Roman" w:eastAsia="宋体" w:hAnsi="Times New Roman" w:cs="Times New Roman" w:hint="eastAsia"/>
          <w:sz w:val="24"/>
        </w:rPr>
        <w:t>GB 50074</w:t>
      </w:r>
      <w:r>
        <w:rPr>
          <w:rFonts w:ascii="Times New Roman" w:eastAsia="宋体" w:hAnsi="Times New Roman" w:cs="Times New Roman" w:hint="eastAsia"/>
          <w:sz w:val="24"/>
        </w:rPr>
        <w:t>—</w:t>
      </w:r>
      <w:r>
        <w:rPr>
          <w:rFonts w:ascii="Times New Roman" w:eastAsia="宋体" w:hAnsi="Times New Roman" w:cs="Times New Roman" w:hint="eastAsia"/>
          <w:sz w:val="24"/>
        </w:rPr>
        <w:t>2014</w:t>
      </w:r>
      <w:r>
        <w:rPr>
          <w:rFonts w:ascii="Times New Roman" w:eastAsia="宋体" w:hAnsi="Times New Roman" w:cs="Times New Roman" w:hint="eastAsia"/>
          <w:sz w:val="24"/>
        </w:rPr>
        <w:t>第</w:t>
      </w:r>
      <w:r>
        <w:rPr>
          <w:rFonts w:ascii="Times New Roman" w:eastAsia="宋体" w:hAnsi="Times New Roman" w:cs="Times New Roman" w:hint="eastAsia"/>
          <w:sz w:val="24"/>
        </w:rPr>
        <w:t>5.3.1</w:t>
      </w:r>
      <w:r>
        <w:rPr>
          <w:rFonts w:ascii="Times New Roman" w:eastAsia="宋体" w:hAnsi="Times New Roman" w:cs="Times New Roman" w:hint="eastAsia"/>
          <w:sz w:val="24"/>
        </w:rPr>
        <w:t>条关于防洪、防潮和防内涝的要求：储油区、消防及供配电等关键设施应避开场地低洼易涝位置，装卸区和行政管理区应保证暴雨期间仍具备安全通行及疏散条件；各区最终标高应以场地测量、设计洪潮水位和排水专项计算为依据。</w:t>
      </w:r>
    </w:p>
    <w:p w14:paraId="797F0F6B" w14:textId="27745A7A" w:rsidR="00B4749F" w:rsidRDefault="00B4749F" w:rsidP="00B4749F">
      <w:pPr>
        <w:keepNext/>
        <w:spacing w:line="360" w:lineRule="auto"/>
        <w:ind w:firstLine="420"/>
        <w:rPr>
          <w:rFonts w:ascii="Times New Roman" w:eastAsia="宋体" w:hAnsi="Times New Roman" w:cs="Times New Roman" w:hint="eastAsia"/>
          <w:sz w:val="24"/>
        </w:rPr>
      </w:pPr>
      <w:r>
        <w:rPr>
          <w:rFonts w:ascii="Times New Roman" w:eastAsia="宋体" w:hAnsi="Times New Roman" w:cs="Times New Roman" w:hint="eastAsia"/>
          <w:sz w:val="24"/>
        </w:rPr>
        <w:t>根据本项目建设参数采用的广州黄埔地区近年气象统计资料，场址年平均气温为</w:t>
      </w:r>
      <w:r>
        <w:rPr>
          <w:rFonts w:ascii="Times New Roman" w:eastAsia="宋体" w:hAnsi="Times New Roman" w:cs="Times New Roman" w:hint="eastAsia"/>
          <w:sz w:val="24"/>
        </w:rPr>
        <w:t>22.6</w:t>
      </w:r>
      <w:r>
        <w:rPr>
          <w:rFonts w:ascii="Times New Roman" w:eastAsia="宋体" w:hAnsi="Times New Roman" w:cs="Times New Roman" w:hint="eastAsia"/>
          <w:sz w:val="24"/>
        </w:rPr>
        <w:t>℃，最热月月平均气温为</w:t>
      </w:r>
      <w:r>
        <w:rPr>
          <w:rFonts w:ascii="Times New Roman" w:eastAsia="宋体" w:hAnsi="Times New Roman" w:cs="Times New Roman" w:hint="eastAsia"/>
          <w:sz w:val="24"/>
        </w:rPr>
        <w:t>29.3</w:t>
      </w:r>
      <w:r>
        <w:rPr>
          <w:rFonts w:ascii="Times New Roman" w:eastAsia="宋体" w:hAnsi="Times New Roman" w:cs="Times New Roman" w:hint="eastAsia"/>
          <w:sz w:val="24"/>
        </w:rPr>
        <w:t>℃，最冷月月平均气温为</w:t>
      </w:r>
      <w:r>
        <w:rPr>
          <w:rFonts w:ascii="Times New Roman" w:eastAsia="宋体" w:hAnsi="Times New Roman" w:cs="Times New Roman" w:hint="eastAsia"/>
          <w:sz w:val="24"/>
        </w:rPr>
        <w:t>14.2</w:t>
      </w:r>
      <w:r>
        <w:rPr>
          <w:rFonts w:ascii="Times New Roman" w:eastAsia="宋体" w:hAnsi="Times New Roman" w:cs="Times New Roman" w:hint="eastAsia"/>
          <w:sz w:val="24"/>
        </w:rPr>
        <w:t>℃，绝对最高气温为</w:t>
      </w:r>
      <w:r>
        <w:rPr>
          <w:rFonts w:ascii="Times New Roman" w:eastAsia="宋体" w:hAnsi="Times New Roman" w:cs="Times New Roman" w:hint="eastAsia"/>
          <w:sz w:val="24"/>
        </w:rPr>
        <w:t>39</w:t>
      </w:r>
      <w:r>
        <w:rPr>
          <w:rFonts w:ascii="Times New Roman" w:eastAsia="宋体" w:hAnsi="Times New Roman" w:cs="Times New Roman" w:hint="eastAsia"/>
          <w:sz w:val="24"/>
        </w:rPr>
        <w:t>℃，绝对最低气温为</w:t>
      </w:r>
      <w:r>
        <w:rPr>
          <w:rFonts w:ascii="Times New Roman" w:eastAsia="宋体" w:hAnsi="Times New Roman" w:cs="Times New Roman" w:hint="eastAsia"/>
          <w:sz w:val="24"/>
        </w:rPr>
        <w:t>1.8</w:t>
      </w:r>
      <w:r>
        <w:rPr>
          <w:rFonts w:ascii="Times New Roman" w:eastAsia="宋体" w:hAnsi="Times New Roman" w:cs="Times New Roman" w:hint="eastAsia"/>
          <w:sz w:val="24"/>
        </w:rPr>
        <w:t>℃；全年平均降雨量为</w:t>
      </w:r>
      <w:r>
        <w:rPr>
          <w:rFonts w:ascii="Times New Roman" w:eastAsia="宋体" w:hAnsi="Times New Roman" w:cs="Times New Roman" w:hint="eastAsia"/>
          <w:sz w:val="24"/>
        </w:rPr>
        <w:t>2240mm</w:t>
      </w:r>
      <w:r>
        <w:rPr>
          <w:rFonts w:ascii="Times New Roman" w:eastAsia="宋体" w:hAnsi="Times New Roman" w:cs="Times New Roman" w:hint="eastAsia"/>
          <w:sz w:val="24"/>
        </w:rPr>
        <w:t>，日最大降雨量为</w:t>
      </w:r>
      <w:r>
        <w:rPr>
          <w:rFonts w:ascii="Times New Roman" w:eastAsia="宋体" w:hAnsi="Times New Roman" w:cs="Times New Roman" w:hint="eastAsia"/>
          <w:sz w:val="24"/>
        </w:rPr>
        <w:t>346mm</w:t>
      </w:r>
      <w:r>
        <w:rPr>
          <w:rFonts w:ascii="Times New Roman" w:eastAsia="宋体" w:hAnsi="Times New Roman" w:cs="Times New Roman" w:hint="eastAsia"/>
          <w:sz w:val="24"/>
        </w:rPr>
        <w:t>，平均降雨天数为</w:t>
      </w:r>
      <w:r>
        <w:rPr>
          <w:rFonts w:ascii="Times New Roman" w:eastAsia="宋体" w:hAnsi="Times New Roman" w:cs="Times New Roman" w:hint="eastAsia"/>
          <w:sz w:val="24"/>
        </w:rPr>
        <w:t>153d</w:t>
      </w:r>
      <w:r>
        <w:rPr>
          <w:rFonts w:ascii="Times New Roman" w:eastAsia="宋体" w:hAnsi="Times New Roman" w:cs="Times New Roman" w:hint="eastAsia"/>
          <w:sz w:val="24"/>
        </w:rPr>
        <w:t>；主导风向偏北，年平均风速为</w:t>
      </w:r>
      <w:r>
        <w:rPr>
          <w:rFonts w:ascii="Times New Roman" w:eastAsia="宋体" w:hAnsi="Times New Roman" w:cs="Times New Roman" w:hint="eastAsia"/>
          <w:sz w:val="24"/>
        </w:rPr>
        <w:t>2.0m/s</w:t>
      </w:r>
      <w:r>
        <w:rPr>
          <w:rFonts w:ascii="Times New Roman" w:eastAsia="宋体" w:hAnsi="Times New Roman" w:cs="Times New Roman" w:hint="eastAsia"/>
          <w:sz w:val="24"/>
        </w:rPr>
        <w:t>，最大风速为</w:t>
      </w:r>
      <w:r>
        <w:rPr>
          <w:rFonts w:ascii="Times New Roman" w:eastAsia="宋体" w:hAnsi="Times New Roman" w:cs="Times New Roman" w:hint="eastAsia"/>
          <w:sz w:val="24"/>
        </w:rPr>
        <w:t>32.8m/s</w:t>
      </w:r>
      <w:r>
        <w:rPr>
          <w:rFonts w:ascii="Times New Roman" w:eastAsia="宋体" w:hAnsi="Times New Roman" w:cs="Times New Roman" w:hint="eastAsia"/>
          <w:sz w:val="24"/>
        </w:rPr>
        <w:t>。</w:t>
      </w:r>
      <w:r w:rsidRPr="00B4749F">
        <w:rPr>
          <w:rFonts w:ascii="Times New Roman" w:eastAsia="宋体" w:hAnsi="Times New Roman" w:cs="Times New Roman" w:hint="eastAsia"/>
          <w:sz w:val="18"/>
          <w:vertAlign w:val="superscript"/>
        </w:rPr>
        <w:t>[24]</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上述条件表明分区设计应重点考虑暴雨排水、防潮防涝和大风工况：行政管理区在总图方案</w:t>
      </w:r>
      <w:r>
        <w:rPr>
          <w:rFonts w:ascii="Times New Roman" w:eastAsia="宋体" w:hAnsi="Times New Roman" w:cs="Times New Roman" w:hint="eastAsia"/>
          <w:sz w:val="24"/>
        </w:rPr>
        <w:lastRenderedPageBreak/>
        <w:t>比选时宜优先考虑位于储油区及装卸区的偏北侧或其他不易受油气影响的位置，但最终相对方位须结合全年风频玫瑰图复核；装车棚、油气回收设施、室外管架和轻型附属构筑物还应在后续结构设计中进行抗风验算。</w:t>
      </w:r>
    </w:p>
    <w:p w14:paraId="182A3DE0" w14:textId="279479EA" w:rsidR="00B4749F" w:rsidRDefault="00B4749F" w:rsidP="00B4749F">
      <w:pPr>
        <w:keepNext/>
        <w:spacing w:before="120" w:line="360" w:lineRule="auto"/>
        <w:jc w:val="left"/>
        <w:rPr>
          <w:rFonts w:ascii="Times New Roman" w:eastAsia="黑体" w:hAnsi="Times New Roman" w:cs="Times New Roman" w:hint="eastAsia"/>
          <w:b/>
          <w:sz w:val="24"/>
        </w:rPr>
      </w:pPr>
      <w:r>
        <w:rPr>
          <w:rFonts w:ascii="Times New Roman" w:eastAsia="黑体" w:hAnsi="Times New Roman" w:cs="Times New Roman" w:hint="eastAsia"/>
          <w:b/>
          <w:sz w:val="24"/>
        </w:rPr>
        <w:t>（</w:t>
      </w:r>
      <w:r>
        <w:rPr>
          <w:rFonts w:ascii="Times New Roman" w:eastAsia="黑体" w:hAnsi="Times New Roman" w:cs="Times New Roman" w:hint="eastAsia"/>
          <w:b/>
          <w:sz w:val="24"/>
        </w:rPr>
        <w:t>1</w:t>
      </w:r>
      <w:r>
        <w:rPr>
          <w:rFonts w:ascii="Times New Roman" w:eastAsia="黑体" w:hAnsi="Times New Roman" w:cs="Times New Roman" w:hint="eastAsia"/>
          <w:b/>
          <w:sz w:val="24"/>
        </w:rPr>
        <w:t>）储油区</w:t>
      </w:r>
    </w:p>
    <w:p w14:paraId="10675770" w14:textId="67922180" w:rsidR="00B4749F" w:rsidRDefault="00B4749F" w:rsidP="00B4749F">
      <w:pPr>
        <w:keepNext/>
        <w:spacing w:line="360" w:lineRule="auto"/>
        <w:ind w:firstLine="420"/>
        <w:rPr>
          <w:rFonts w:ascii="Times New Roman" w:eastAsia="宋体" w:hAnsi="Times New Roman" w:cs="Times New Roman" w:hint="eastAsia"/>
          <w:sz w:val="24"/>
        </w:rPr>
      </w:pPr>
      <w:r>
        <w:rPr>
          <w:rFonts w:ascii="Times New Roman" w:eastAsia="宋体" w:hAnsi="Times New Roman" w:cs="Times New Roman" w:hint="eastAsia"/>
          <w:sz w:val="24"/>
        </w:rPr>
        <w:t>储油区是油库储存油品的核心区域，也是油库火灾危险性和油品集中程度最高的区域。本设计储油区共设置</w:t>
      </w:r>
      <w:r>
        <w:rPr>
          <w:rFonts w:ascii="Times New Roman" w:eastAsia="宋体" w:hAnsi="Times New Roman" w:cs="Times New Roman" w:hint="eastAsia"/>
          <w:sz w:val="24"/>
        </w:rPr>
        <w:t>8</w:t>
      </w:r>
      <w:r>
        <w:rPr>
          <w:rFonts w:ascii="Times New Roman" w:eastAsia="宋体" w:hAnsi="Times New Roman" w:cs="Times New Roman" w:hint="eastAsia"/>
          <w:sz w:val="24"/>
        </w:rPr>
        <w:t>座地上立式储罐，其中</w:t>
      </w:r>
      <w:r>
        <w:rPr>
          <w:rFonts w:ascii="Times New Roman" w:eastAsia="宋体" w:hAnsi="Times New Roman" w:cs="Times New Roman" w:hint="eastAsia"/>
          <w:sz w:val="24"/>
        </w:rPr>
        <w:t>92</w:t>
      </w:r>
      <w:r>
        <w:rPr>
          <w:rFonts w:ascii="Times New Roman" w:eastAsia="宋体" w:hAnsi="Times New Roman" w:cs="Times New Roman" w:hint="eastAsia"/>
          <w:sz w:val="24"/>
        </w:rPr>
        <w:t>号汽油设置</w:t>
      </w:r>
      <w:r>
        <w:rPr>
          <w:rFonts w:ascii="Times New Roman" w:eastAsia="宋体" w:hAnsi="Times New Roman" w:cs="Times New Roman" w:hint="eastAsia"/>
          <w:sz w:val="24"/>
        </w:rPr>
        <w:t>3</w:t>
      </w:r>
      <w:r>
        <w:rPr>
          <w:rFonts w:ascii="Times New Roman" w:eastAsia="宋体" w:hAnsi="Times New Roman" w:cs="Times New Roman" w:hint="eastAsia"/>
          <w:sz w:val="24"/>
        </w:rPr>
        <w:t>座</w:t>
      </w:r>
      <w:r>
        <w:rPr>
          <w:rFonts w:ascii="Times New Roman" w:eastAsia="宋体" w:hAnsi="Times New Roman" w:cs="Times New Roman" w:hint="eastAsia"/>
          <w:sz w:val="24"/>
        </w:rPr>
        <w:t>10000m</w:t>
      </w:r>
      <w:r>
        <w:rPr>
          <w:rFonts w:ascii="Times New Roman" w:eastAsia="宋体" w:hAnsi="Times New Roman" w:cs="Times New Roman" w:hint="eastAsia"/>
          <w:sz w:val="24"/>
        </w:rPr>
        <w:t>³内浮顶储罐，</w:t>
      </w:r>
      <w:r>
        <w:rPr>
          <w:rFonts w:ascii="Times New Roman" w:eastAsia="宋体" w:hAnsi="Times New Roman" w:cs="Times New Roman" w:hint="eastAsia"/>
          <w:sz w:val="24"/>
        </w:rPr>
        <w:t>95</w:t>
      </w:r>
      <w:r>
        <w:rPr>
          <w:rFonts w:ascii="Times New Roman" w:eastAsia="宋体" w:hAnsi="Times New Roman" w:cs="Times New Roman" w:hint="eastAsia"/>
          <w:sz w:val="24"/>
        </w:rPr>
        <w:t>号汽油设置</w:t>
      </w:r>
      <w:r>
        <w:rPr>
          <w:rFonts w:ascii="Times New Roman" w:eastAsia="宋体" w:hAnsi="Times New Roman" w:cs="Times New Roman" w:hint="eastAsia"/>
          <w:sz w:val="24"/>
        </w:rPr>
        <w:t>2</w:t>
      </w:r>
      <w:r>
        <w:rPr>
          <w:rFonts w:ascii="Times New Roman" w:eastAsia="宋体" w:hAnsi="Times New Roman" w:cs="Times New Roman" w:hint="eastAsia"/>
          <w:sz w:val="24"/>
        </w:rPr>
        <w:t>座</w:t>
      </w:r>
      <w:r>
        <w:rPr>
          <w:rFonts w:ascii="Times New Roman" w:eastAsia="宋体" w:hAnsi="Times New Roman" w:cs="Times New Roman" w:hint="eastAsia"/>
          <w:sz w:val="24"/>
        </w:rPr>
        <w:t>10000m</w:t>
      </w:r>
      <w:r>
        <w:rPr>
          <w:rFonts w:ascii="Times New Roman" w:eastAsia="宋体" w:hAnsi="Times New Roman" w:cs="Times New Roman" w:hint="eastAsia"/>
          <w:sz w:val="24"/>
        </w:rPr>
        <w:t>³内浮顶储罐，</w:t>
      </w:r>
      <w:r>
        <w:rPr>
          <w:rFonts w:ascii="Times New Roman" w:eastAsia="宋体" w:hAnsi="Times New Roman" w:cs="Times New Roman" w:hint="eastAsia"/>
          <w:sz w:val="24"/>
        </w:rPr>
        <w:t>0</w:t>
      </w:r>
      <w:r>
        <w:rPr>
          <w:rFonts w:ascii="Times New Roman" w:eastAsia="宋体" w:hAnsi="Times New Roman" w:cs="Times New Roman" w:hint="eastAsia"/>
          <w:sz w:val="24"/>
        </w:rPr>
        <w:t>号柴油设置</w:t>
      </w:r>
      <w:r>
        <w:rPr>
          <w:rFonts w:ascii="Times New Roman" w:eastAsia="宋体" w:hAnsi="Times New Roman" w:cs="Times New Roman" w:hint="eastAsia"/>
          <w:sz w:val="24"/>
        </w:rPr>
        <w:t>3</w:t>
      </w:r>
      <w:r>
        <w:rPr>
          <w:rFonts w:ascii="Times New Roman" w:eastAsia="宋体" w:hAnsi="Times New Roman" w:cs="Times New Roman" w:hint="eastAsia"/>
          <w:sz w:val="24"/>
        </w:rPr>
        <w:t>座</w:t>
      </w:r>
      <w:r>
        <w:rPr>
          <w:rFonts w:ascii="Times New Roman" w:eastAsia="宋体" w:hAnsi="Times New Roman" w:cs="Times New Roman" w:hint="eastAsia"/>
          <w:sz w:val="24"/>
        </w:rPr>
        <w:t>10000m</w:t>
      </w:r>
      <w:r>
        <w:rPr>
          <w:rFonts w:ascii="Times New Roman" w:eastAsia="宋体" w:hAnsi="Times New Roman" w:cs="Times New Roman" w:hint="eastAsia"/>
          <w:sz w:val="24"/>
        </w:rPr>
        <w:t>³固定顶储罐。汽油储罐和柴油储罐按油品火灾危险性及储罐形式分别组成罐组，各罐组分别设置防火堤，</w:t>
      </w:r>
      <w:r>
        <w:rPr>
          <w:rFonts w:ascii="Times New Roman" w:eastAsia="宋体" w:hAnsi="Times New Roman" w:cs="Times New Roman" w:hint="eastAsia"/>
          <w:sz w:val="24"/>
        </w:rPr>
        <w:t>92</w:t>
      </w:r>
      <w:r>
        <w:rPr>
          <w:rFonts w:ascii="Times New Roman" w:eastAsia="宋体" w:hAnsi="Times New Roman" w:cs="Times New Roman" w:hint="eastAsia"/>
          <w:sz w:val="24"/>
        </w:rPr>
        <w:t>号汽油、</w:t>
      </w:r>
      <w:r>
        <w:rPr>
          <w:rFonts w:ascii="Times New Roman" w:eastAsia="宋体" w:hAnsi="Times New Roman" w:cs="Times New Roman" w:hint="eastAsia"/>
          <w:sz w:val="24"/>
        </w:rPr>
        <w:t>95</w:t>
      </w:r>
      <w:r>
        <w:rPr>
          <w:rFonts w:ascii="Times New Roman" w:eastAsia="宋体" w:hAnsi="Times New Roman" w:cs="Times New Roman" w:hint="eastAsia"/>
          <w:sz w:val="24"/>
        </w:rPr>
        <w:t>号汽油和</w:t>
      </w:r>
      <w:r>
        <w:rPr>
          <w:rFonts w:ascii="Times New Roman" w:eastAsia="宋体" w:hAnsi="Times New Roman" w:cs="Times New Roman" w:hint="eastAsia"/>
          <w:sz w:val="24"/>
        </w:rPr>
        <w:t>0</w:t>
      </w:r>
      <w:r>
        <w:rPr>
          <w:rFonts w:ascii="Times New Roman" w:eastAsia="宋体" w:hAnsi="Times New Roman" w:cs="Times New Roman" w:hint="eastAsia"/>
          <w:sz w:val="24"/>
        </w:rPr>
        <w:t>号柴油采用独立储罐、罐前支线和阀组，防止油品错收、错发及不同牌号油品混合。</w:t>
      </w:r>
    </w:p>
    <w:p w14:paraId="0EEDD3C4" w14:textId="54E1BB7A" w:rsidR="00B4749F" w:rsidRDefault="00B4749F" w:rsidP="00B4749F">
      <w:pPr>
        <w:keepNext/>
        <w:spacing w:line="360" w:lineRule="auto"/>
        <w:ind w:firstLine="420"/>
        <w:rPr>
          <w:rFonts w:ascii="Times New Roman" w:eastAsia="宋体" w:hAnsi="Times New Roman" w:cs="Times New Roman" w:hint="eastAsia"/>
          <w:sz w:val="24"/>
        </w:rPr>
      </w:pPr>
      <w:r>
        <w:rPr>
          <w:rFonts w:ascii="Times New Roman" w:eastAsia="宋体" w:hAnsi="Times New Roman" w:cs="Times New Roman" w:hint="eastAsia"/>
          <w:sz w:val="24"/>
        </w:rPr>
        <w:t>储油区宜布置在库区内部相对独立、地势较稳定且排水条件良好的位置，不得作为其他功能区之间的人员或车辆通行通道。结合穗东街道附近沿江地区的防潮排涝条件，储罐基础及罐区地坪标高应在场地洪潮水位和内涝风险分析基础上确定，不得将储罐组布置在场地自然汇水低点。区内除储罐外，主要布置罐前阀组、现场仪表、液位监测设施、紧急切断设施、消防设施及必要的操作检修通道。根据</w:t>
      </w:r>
      <w:r>
        <w:rPr>
          <w:rFonts w:ascii="Times New Roman" w:eastAsia="宋体" w:hAnsi="Times New Roman" w:cs="Times New Roman" w:hint="eastAsia"/>
          <w:sz w:val="24"/>
        </w:rPr>
        <w:t>GB 50074</w:t>
      </w:r>
      <w:r>
        <w:rPr>
          <w:rFonts w:ascii="Times New Roman" w:eastAsia="宋体" w:hAnsi="Times New Roman" w:cs="Times New Roman" w:hint="eastAsia"/>
          <w:sz w:val="24"/>
        </w:rPr>
        <w:t>—</w:t>
      </w:r>
      <w:r>
        <w:rPr>
          <w:rFonts w:ascii="Times New Roman" w:eastAsia="宋体" w:hAnsi="Times New Roman" w:cs="Times New Roman" w:hint="eastAsia"/>
          <w:sz w:val="24"/>
        </w:rPr>
        <w:t>2014</w:t>
      </w:r>
      <w:r>
        <w:rPr>
          <w:rFonts w:ascii="Times New Roman" w:eastAsia="宋体" w:hAnsi="Times New Roman" w:cs="Times New Roman" w:hint="eastAsia"/>
          <w:sz w:val="24"/>
        </w:rPr>
        <w:t>第</w:t>
      </w:r>
      <w:r>
        <w:rPr>
          <w:rFonts w:ascii="Times New Roman" w:eastAsia="宋体" w:hAnsi="Times New Roman" w:cs="Times New Roman" w:hint="eastAsia"/>
          <w:sz w:val="24"/>
        </w:rPr>
        <w:t>5.2.1</w:t>
      </w:r>
      <w:r>
        <w:rPr>
          <w:rFonts w:ascii="Times New Roman" w:eastAsia="宋体" w:hAnsi="Times New Roman" w:cs="Times New Roman" w:hint="eastAsia"/>
          <w:sz w:val="24"/>
        </w:rPr>
        <w:t>条，储罐区周围设置环形消防车道；消防道路、防火堤和工艺管线之间应留有消防操作及设备检修空间。</w:t>
      </w:r>
      <w:r w:rsidRPr="00B4749F">
        <w:rPr>
          <w:rFonts w:ascii="Times New Roman" w:eastAsia="宋体" w:hAnsi="Times New Roman" w:cs="Times New Roman" w:hint="eastAsia"/>
          <w:sz w:val="18"/>
          <w:vertAlign w:val="superscript"/>
        </w:rPr>
        <w:t>[18][19]</w:t>
      </w:r>
    </w:p>
    <w:p w14:paraId="6690B9DD" w14:textId="593750F0" w:rsidR="00B4749F" w:rsidRDefault="00B4749F" w:rsidP="00B4749F">
      <w:pPr>
        <w:keepNext/>
        <w:spacing w:line="360" w:lineRule="auto"/>
        <w:ind w:firstLine="420"/>
        <w:rPr>
          <w:rFonts w:ascii="Times New Roman" w:eastAsia="宋体" w:hAnsi="Times New Roman" w:cs="Times New Roman" w:hint="eastAsia"/>
          <w:sz w:val="24"/>
        </w:rPr>
      </w:pPr>
      <w:r>
        <w:rPr>
          <w:rFonts w:ascii="Times New Roman" w:eastAsia="宋体" w:hAnsi="Times New Roman" w:cs="Times New Roman" w:hint="eastAsia"/>
          <w:sz w:val="24"/>
        </w:rPr>
        <w:t>储罐布置应首先满足</w:t>
      </w:r>
      <w:r>
        <w:rPr>
          <w:rFonts w:ascii="Times New Roman" w:eastAsia="宋体" w:hAnsi="Times New Roman" w:cs="Times New Roman" w:hint="eastAsia"/>
          <w:sz w:val="24"/>
        </w:rPr>
        <w:t>GB 50074</w:t>
      </w:r>
      <w:r>
        <w:rPr>
          <w:rFonts w:ascii="Times New Roman" w:eastAsia="宋体" w:hAnsi="Times New Roman" w:cs="Times New Roman" w:hint="eastAsia"/>
          <w:sz w:val="24"/>
        </w:rPr>
        <w:t>—</w:t>
      </w:r>
      <w:r>
        <w:rPr>
          <w:rFonts w:ascii="Times New Roman" w:eastAsia="宋体" w:hAnsi="Times New Roman" w:cs="Times New Roman" w:hint="eastAsia"/>
          <w:sz w:val="24"/>
        </w:rPr>
        <w:t>2014</w:t>
      </w:r>
      <w:r>
        <w:rPr>
          <w:rFonts w:ascii="Times New Roman" w:eastAsia="宋体" w:hAnsi="Times New Roman" w:cs="Times New Roman" w:hint="eastAsia"/>
          <w:sz w:val="24"/>
        </w:rPr>
        <w:t>第</w:t>
      </w:r>
      <w:r>
        <w:rPr>
          <w:rFonts w:ascii="Times New Roman" w:eastAsia="宋体" w:hAnsi="Times New Roman" w:cs="Times New Roman" w:hint="eastAsia"/>
          <w:sz w:val="24"/>
        </w:rPr>
        <w:t>6</w:t>
      </w:r>
      <w:r>
        <w:rPr>
          <w:rFonts w:ascii="Times New Roman" w:eastAsia="宋体" w:hAnsi="Times New Roman" w:cs="Times New Roman" w:hint="eastAsia"/>
          <w:sz w:val="24"/>
        </w:rPr>
        <w:t>章关于储罐布置和防火间距的要求，储罐组防火堤应符合该规范第</w:t>
      </w:r>
      <w:r>
        <w:rPr>
          <w:rFonts w:ascii="Times New Roman" w:eastAsia="宋体" w:hAnsi="Times New Roman" w:cs="Times New Roman" w:hint="eastAsia"/>
          <w:sz w:val="24"/>
        </w:rPr>
        <w:t>6.5</w:t>
      </w:r>
      <w:r>
        <w:rPr>
          <w:rFonts w:ascii="Times New Roman" w:eastAsia="宋体" w:hAnsi="Times New Roman" w:cs="Times New Roman" w:hint="eastAsia"/>
          <w:sz w:val="24"/>
        </w:rPr>
        <w:t>节的规定。储油区的预留发展用地宜设置在罐组一侧，并与现有工艺管线、消防道路和后续扩建方向统一考虑，不应将预留罐位布置在现有危险设施与行政管理区之间。储油区集中布置有利于缩短工艺管线、减少消防道路长度并提高运行管理效率，但不得以压缩规范规定的防火间距为代价。</w:t>
      </w:r>
      <w:r w:rsidRPr="00B4749F">
        <w:rPr>
          <w:rFonts w:ascii="Times New Roman" w:eastAsia="宋体" w:hAnsi="Times New Roman" w:cs="Times New Roman" w:hint="eastAsia"/>
          <w:sz w:val="18"/>
          <w:vertAlign w:val="superscript"/>
        </w:rPr>
        <w:t>[20]</w:t>
      </w:r>
    </w:p>
    <w:p w14:paraId="50D152BC" w14:textId="095FDE27" w:rsidR="00B4749F" w:rsidRDefault="00B4749F" w:rsidP="00B4749F">
      <w:pPr>
        <w:keepNext/>
        <w:spacing w:before="120" w:line="360" w:lineRule="auto"/>
        <w:jc w:val="left"/>
        <w:rPr>
          <w:rFonts w:ascii="Times New Roman" w:eastAsia="黑体" w:hAnsi="Times New Roman" w:cs="Times New Roman" w:hint="eastAsia"/>
          <w:b/>
          <w:sz w:val="24"/>
        </w:rPr>
      </w:pPr>
      <w:r>
        <w:rPr>
          <w:rFonts w:ascii="Times New Roman" w:eastAsia="黑体" w:hAnsi="Times New Roman" w:cs="Times New Roman" w:hint="eastAsia"/>
          <w:b/>
          <w:sz w:val="24"/>
        </w:rPr>
        <w:t>（</w:t>
      </w:r>
      <w:r>
        <w:rPr>
          <w:rFonts w:ascii="Times New Roman" w:eastAsia="黑体" w:hAnsi="Times New Roman" w:cs="Times New Roman" w:hint="eastAsia"/>
          <w:b/>
          <w:sz w:val="24"/>
        </w:rPr>
        <w:t>2</w:t>
      </w:r>
      <w:r>
        <w:rPr>
          <w:rFonts w:ascii="Times New Roman" w:eastAsia="黑体" w:hAnsi="Times New Roman" w:cs="Times New Roman" w:hint="eastAsia"/>
          <w:b/>
          <w:sz w:val="24"/>
        </w:rPr>
        <w:t>）装卸区</w:t>
      </w:r>
    </w:p>
    <w:p w14:paraId="754528E8" w14:textId="793F3A33" w:rsidR="00B4749F" w:rsidRDefault="00B4749F" w:rsidP="00B4749F">
      <w:pPr>
        <w:keepNext/>
        <w:spacing w:line="360" w:lineRule="auto"/>
        <w:ind w:firstLine="420"/>
        <w:rPr>
          <w:rFonts w:ascii="Times New Roman" w:eastAsia="宋体" w:hAnsi="Times New Roman" w:cs="Times New Roman" w:hint="eastAsia"/>
          <w:sz w:val="24"/>
        </w:rPr>
      </w:pPr>
      <w:r>
        <w:rPr>
          <w:rFonts w:ascii="Times New Roman" w:eastAsia="宋体" w:hAnsi="Times New Roman" w:cs="Times New Roman" w:hint="eastAsia"/>
          <w:sz w:val="24"/>
        </w:rPr>
        <w:t>装卸区承担油品进出油库的收发作业。根据本油库收发油方案，</w:t>
      </w:r>
      <w:r>
        <w:rPr>
          <w:rFonts w:ascii="Times New Roman" w:eastAsia="宋体" w:hAnsi="Times New Roman" w:cs="Times New Roman" w:hint="eastAsia"/>
          <w:sz w:val="24"/>
        </w:rPr>
        <w:t>92</w:t>
      </w:r>
      <w:r>
        <w:rPr>
          <w:rFonts w:ascii="Times New Roman" w:eastAsia="宋体" w:hAnsi="Times New Roman" w:cs="Times New Roman" w:hint="eastAsia"/>
          <w:sz w:val="24"/>
        </w:rPr>
        <w:t>号汽油、</w:t>
      </w:r>
      <w:r>
        <w:rPr>
          <w:rFonts w:ascii="Times New Roman" w:eastAsia="宋体" w:hAnsi="Times New Roman" w:cs="Times New Roman" w:hint="eastAsia"/>
          <w:sz w:val="24"/>
        </w:rPr>
        <w:t>95</w:t>
      </w:r>
      <w:r>
        <w:rPr>
          <w:rFonts w:ascii="Times New Roman" w:eastAsia="宋体" w:hAnsi="Times New Roman" w:cs="Times New Roman" w:hint="eastAsia"/>
          <w:sz w:val="24"/>
        </w:rPr>
        <w:t>号汽油和</w:t>
      </w:r>
      <w:r>
        <w:rPr>
          <w:rFonts w:ascii="Times New Roman" w:eastAsia="宋体" w:hAnsi="Times New Roman" w:cs="Times New Roman" w:hint="eastAsia"/>
          <w:sz w:val="24"/>
        </w:rPr>
        <w:t>0</w:t>
      </w:r>
      <w:r>
        <w:rPr>
          <w:rFonts w:ascii="Times New Roman" w:eastAsia="宋体" w:hAnsi="Times New Roman" w:cs="Times New Roman" w:hint="eastAsia"/>
          <w:sz w:val="24"/>
        </w:rPr>
        <w:t>号柴油均采用管道进库，出库采用管道运输和公路运输两种方式，因此装卸区由管道收发油设施和公路装车设施组成，不设置铁路装卸区和水运装卸区。</w:t>
      </w:r>
    </w:p>
    <w:p w14:paraId="256918DC" w14:textId="4BEB724F" w:rsidR="00B4749F" w:rsidRDefault="00B4749F" w:rsidP="00B4749F">
      <w:pPr>
        <w:keepNext/>
        <w:spacing w:line="360" w:lineRule="auto"/>
        <w:ind w:firstLine="420"/>
        <w:rPr>
          <w:rFonts w:ascii="Times New Roman" w:eastAsia="宋体" w:hAnsi="Times New Roman" w:cs="Times New Roman" w:hint="eastAsia"/>
          <w:sz w:val="24"/>
        </w:rPr>
      </w:pPr>
      <w:r>
        <w:rPr>
          <w:rFonts w:ascii="Times New Roman" w:eastAsia="宋体" w:hAnsi="Times New Roman" w:cs="Times New Roman" w:hint="eastAsia"/>
          <w:sz w:val="24"/>
        </w:rPr>
        <w:t>管道收发油设施主要包括库外管道接口、进出库阀组、过滤设施、计量设施、取样设施、输油泵及油品分配管线。管道接口和进出库阀组宜靠近外部输油管道进入库区的位置布置，使外部管道能够以较短路线接入装卸区和储油区，并减少管道穿越其他功能</w:t>
      </w:r>
      <w:r>
        <w:rPr>
          <w:rFonts w:ascii="Times New Roman" w:eastAsia="宋体" w:hAnsi="Times New Roman" w:cs="Times New Roman" w:hint="eastAsia"/>
          <w:sz w:val="24"/>
        </w:rPr>
        <w:lastRenderedPageBreak/>
        <w:t>区的长度。输油泵和阀组的位置应根据收发油工艺确定，同时满足操作、检修、泄压和紧急切断要求。</w:t>
      </w:r>
    </w:p>
    <w:p w14:paraId="19DE3634" w14:textId="2745E967" w:rsidR="00B4749F" w:rsidRDefault="00B4749F" w:rsidP="00B4749F">
      <w:pPr>
        <w:keepNext/>
        <w:spacing w:line="360" w:lineRule="auto"/>
        <w:ind w:firstLine="420"/>
        <w:rPr>
          <w:rFonts w:ascii="Times New Roman" w:eastAsia="宋体" w:hAnsi="Times New Roman" w:cs="Times New Roman" w:hint="eastAsia"/>
          <w:sz w:val="24"/>
        </w:rPr>
      </w:pPr>
      <w:r>
        <w:rPr>
          <w:rFonts w:ascii="Times New Roman" w:eastAsia="宋体" w:hAnsi="Times New Roman" w:cs="Times New Roman" w:hint="eastAsia"/>
          <w:sz w:val="24"/>
        </w:rPr>
        <w:t>公路装车区宜布置在库区靠近对外公路的一侧，使汽车罐车完成检查、装车和复核后能够直接驶离，不需要穿越储油区、辅助生产区或行政管理区。结合穗东街道城市道路和社区分布条件，装车区对外连接道路应具备汽车罐车安全通行、转弯和应急疏散条件，车辆进出路线应避开居民集中区、学校、文物保护单位和人员密集公共场所；具体路线须根据正式选址周边道路交通调查确定。公路装车区应与其他功能区采用围墙、栅栏或受控通道进行分隔，并设置车辆检查、装车作业和必要的等候位置。装车车辆宜采用单向循环交通组织，避免车辆在装车作业区域频繁倒车、调头或与办公人员通道交叉。</w:t>
      </w:r>
      <w:r w:rsidRPr="00B4749F">
        <w:rPr>
          <w:rFonts w:ascii="Times New Roman" w:eastAsia="宋体" w:hAnsi="Times New Roman" w:cs="Times New Roman" w:hint="eastAsia"/>
          <w:sz w:val="18"/>
          <w:vertAlign w:val="superscript"/>
        </w:rPr>
        <w:t>[19][20][22]</w:t>
      </w:r>
    </w:p>
    <w:p w14:paraId="6FB7BBAF" w14:textId="76A80E40" w:rsidR="00B4749F" w:rsidRDefault="00B4749F" w:rsidP="00B4749F">
      <w:pPr>
        <w:keepNext/>
        <w:spacing w:line="360" w:lineRule="auto"/>
        <w:ind w:firstLine="420"/>
        <w:rPr>
          <w:rFonts w:ascii="Times New Roman" w:eastAsia="宋体" w:hAnsi="Times New Roman" w:cs="Times New Roman" w:hint="eastAsia"/>
          <w:sz w:val="24"/>
        </w:rPr>
      </w:pPr>
      <w:r>
        <w:rPr>
          <w:rFonts w:ascii="Times New Roman" w:eastAsia="宋体" w:hAnsi="Times New Roman" w:cs="Times New Roman" w:hint="eastAsia"/>
          <w:sz w:val="24"/>
        </w:rPr>
        <w:t>公路装车区主要设置装车棚、装车岛、底部装车鹤管、定量装车控制设施、流量计、静电接地装置、防溢流联锁和紧急停车设施。按照现行《储油库大气污染物排放标准》</w:t>
      </w:r>
      <w:r>
        <w:rPr>
          <w:rFonts w:ascii="Times New Roman" w:eastAsia="宋体" w:hAnsi="Times New Roman" w:cs="Times New Roman" w:hint="eastAsia"/>
          <w:sz w:val="24"/>
        </w:rPr>
        <w:t>GB 20950</w:t>
      </w:r>
      <w:r>
        <w:rPr>
          <w:rFonts w:ascii="Times New Roman" w:eastAsia="宋体" w:hAnsi="Times New Roman" w:cs="Times New Roman" w:hint="eastAsia"/>
          <w:sz w:val="24"/>
        </w:rPr>
        <w:t>—</w:t>
      </w:r>
      <w:r>
        <w:rPr>
          <w:rFonts w:ascii="Times New Roman" w:eastAsia="宋体" w:hAnsi="Times New Roman" w:cs="Times New Roman" w:hint="eastAsia"/>
          <w:sz w:val="24"/>
        </w:rPr>
        <w:t>2020</w:t>
      </w:r>
      <w:r>
        <w:rPr>
          <w:rFonts w:ascii="Times New Roman" w:eastAsia="宋体" w:hAnsi="Times New Roman" w:cs="Times New Roman" w:hint="eastAsia"/>
          <w:sz w:val="24"/>
        </w:rPr>
        <w:t>第</w:t>
      </w:r>
      <w:r>
        <w:rPr>
          <w:rFonts w:ascii="Times New Roman" w:eastAsia="宋体" w:hAnsi="Times New Roman" w:cs="Times New Roman" w:hint="eastAsia"/>
          <w:sz w:val="24"/>
        </w:rPr>
        <w:t>4.3</w:t>
      </w:r>
      <w:r>
        <w:rPr>
          <w:rFonts w:ascii="Times New Roman" w:eastAsia="宋体" w:hAnsi="Times New Roman" w:cs="Times New Roman" w:hint="eastAsia"/>
          <w:sz w:val="24"/>
        </w:rPr>
        <w:t>节，汽油装车鹤位应设置密闭油气收集管线并接入油气回收装置。</w:t>
      </w:r>
      <w:r>
        <w:rPr>
          <w:rFonts w:ascii="Times New Roman" w:eastAsia="宋体" w:hAnsi="Times New Roman" w:cs="Times New Roman" w:hint="eastAsia"/>
          <w:sz w:val="24"/>
        </w:rPr>
        <w:t>92</w:t>
      </w:r>
      <w:r>
        <w:rPr>
          <w:rFonts w:ascii="Times New Roman" w:eastAsia="宋体" w:hAnsi="Times New Roman" w:cs="Times New Roman" w:hint="eastAsia"/>
          <w:sz w:val="24"/>
        </w:rPr>
        <w:t>号汽油、</w:t>
      </w:r>
      <w:r>
        <w:rPr>
          <w:rFonts w:ascii="Times New Roman" w:eastAsia="宋体" w:hAnsi="Times New Roman" w:cs="Times New Roman" w:hint="eastAsia"/>
          <w:sz w:val="24"/>
        </w:rPr>
        <w:t>95</w:t>
      </w:r>
      <w:r>
        <w:rPr>
          <w:rFonts w:ascii="Times New Roman" w:eastAsia="宋体" w:hAnsi="Times New Roman" w:cs="Times New Roman" w:hint="eastAsia"/>
          <w:sz w:val="24"/>
        </w:rPr>
        <w:t>号汽油和</w:t>
      </w:r>
      <w:r>
        <w:rPr>
          <w:rFonts w:ascii="Times New Roman" w:eastAsia="宋体" w:hAnsi="Times New Roman" w:cs="Times New Roman" w:hint="eastAsia"/>
          <w:sz w:val="24"/>
        </w:rPr>
        <w:t>0</w:t>
      </w:r>
      <w:r>
        <w:rPr>
          <w:rFonts w:ascii="Times New Roman" w:eastAsia="宋体" w:hAnsi="Times New Roman" w:cs="Times New Roman" w:hint="eastAsia"/>
          <w:sz w:val="24"/>
        </w:rPr>
        <w:t>号柴油分别设置明确的装车鹤位、管线及标识，装车控制系统应对油品牌号、车辆仓号和装载量进行核对，防止错装、混装和超装。</w:t>
      </w:r>
    </w:p>
    <w:p w14:paraId="7814EEC5" w14:textId="5618E178" w:rsidR="00B4749F" w:rsidRDefault="00B4749F" w:rsidP="00B4749F">
      <w:pPr>
        <w:keepNext/>
        <w:spacing w:line="360" w:lineRule="auto"/>
        <w:ind w:firstLine="420"/>
        <w:rPr>
          <w:rFonts w:ascii="Times New Roman" w:eastAsia="宋体" w:hAnsi="Times New Roman" w:cs="Times New Roman" w:hint="eastAsia"/>
          <w:sz w:val="24"/>
        </w:rPr>
      </w:pPr>
      <w:r>
        <w:rPr>
          <w:rFonts w:ascii="Times New Roman" w:eastAsia="宋体" w:hAnsi="Times New Roman" w:cs="Times New Roman" w:hint="eastAsia"/>
          <w:sz w:val="24"/>
        </w:rPr>
        <w:t>装卸区内建（构）筑物与储罐、行政管理设施及辅助生产设施之间的防火距离，应按照</w:t>
      </w:r>
      <w:r>
        <w:rPr>
          <w:rFonts w:ascii="Times New Roman" w:eastAsia="宋体" w:hAnsi="Times New Roman" w:cs="Times New Roman" w:hint="eastAsia"/>
          <w:sz w:val="24"/>
        </w:rPr>
        <w:t>GB 50074</w:t>
      </w:r>
      <w:r>
        <w:rPr>
          <w:rFonts w:ascii="Times New Roman" w:eastAsia="宋体" w:hAnsi="Times New Roman" w:cs="Times New Roman" w:hint="eastAsia"/>
          <w:sz w:val="24"/>
        </w:rPr>
        <w:t>—</w:t>
      </w:r>
      <w:r>
        <w:rPr>
          <w:rFonts w:ascii="Times New Roman" w:eastAsia="宋体" w:hAnsi="Times New Roman" w:cs="Times New Roman" w:hint="eastAsia"/>
          <w:sz w:val="24"/>
        </w:rPr>
        <w:t>2014</w:t>
      </w:r>
      <w:r>
        <w:rPr>
          <w:rFonts w:ascii="Times New Roman" w:eastAsia="宋体" w:hAnsi="Times New Roman" w:cs="Times New Roman" w:hint="eastAsia"/>
          <w:sz w:val="24"/>
        </w:rPr>
        <w:t>第</w:t>
      </w:r>
      <w:r>
        <w:rPr>
          <w:rFonts w:ascii="Times New Roman" w:eastAsia="宋体" w:hAnsi="Times New Roman" w:cs="Times New Roman" w:hint="eastAsia"/>
          <w:sz w:val="24"/>
        </w:rPr>
        <w:t>5.1</w:t>
      </w:r>
      <w:r>
        <w:rPr>
          <w:rFonts w:ascii="Times New Roman" w:eastAsia="宋体" w:hAnsi="Times New Roman" w:cs="Times New Roman" w:hint="eastAsia"/>
          <w:sz w:val="24"/>
        </w:rPr>
        <w:t>节及相关专门条款确定，不得直接采用旧版规范或其他油库设计中的距离数据。</w:t>
      </w:r>
    </w:p>
    <w:p w14:paraId="5FC27BED" w14:textId="43191747" w:rsidR="00B4749F" w:rsidRDefault="00B4749F" w:rsidP="00B4749F">
      <w:pPr>
        <w:keepNext/>
        <w:spacing w:before="120" w:line="360" w:lineRule="auto"/>
        <w:jc w:val="left"/>
        <w:rPr>
          <w:rFonts w:ascii="Times New Roman" w:eastAsia="黑体" w:hAnsi="Times New Roman" w:cs="Times New Roman" w:hint="eastAsia"/>
          <w:b/>
          <w:sz w:val="24"/>
        </w:rPr>
      </w:pPr>
      <w:r>
        <w:rPr>
          <w:rFonts w:ascii="Times New Roman" w:eastAsia="黑体" w:hAnsi="Times New Roman" w:cs="Times New Roman" w:hint="eastAsia"/>
          <w:b/>
          <w:sz w:val="24"/>
        </w:rPr>
        <w:t>（</w:t>
      </w:r>
      <w:r>
        <w:rPr>
          <w:rFonts w:ascii="Times New Roman" w:eastAsia="黑体" w:hAnsi="Times New Roman" w:cs="Times New Roman" w:hint="eastAsia"/>
          <w:b/>
          <w:sz w:val="24"/>
        </w:rPr>
        <w:t>3</w:t>
      </w:r>
      <w:r>
        <w:rPr>
          <w:rFonts w:ascii="Times New Roman" w:eastAsia="黑体" w:hAnsi="Times New Roman" w:cs="Times New Roman" w:hint="eastAsia"/>
          <w:b/>
          <w:sz w:val="24"/>
        </w:rPr>
        <w:t>）行政管理区</w:t>
      </w:r>
    </w:p>
    <w:p w14:paraId="4C11FA39" w14:textId="68B93844" w:rsidR="00B4749F" w:rsidRDefault="00B4749F" w:rsidP="00B4749F">
      <w:pPr>
        <w:keepNext/>
        <w:spacing w:line="360" w:lineRule="auto"/>
        <w:ind w:firstLine="420"/>
        <w:rPr>
          <w:rFonts w:ascii="Times New Roman" w:eastAsia="宋体" w:hAnsi="Times New Roman" w:cs="Times New Roman" w:hint="eastAsia"/>
          <w:sz w:val="24"/>
        </w:rPr>
      </w:pPr>
      <w:r>
        <w:rPr>
          <w:rFonts w:ascii="Times New Roman" w:eastAsia="宋体" w:hAnsi="Times New Roman" w:cs="Times New Roman" w:hint="eastAsia"/>
          <w:sz w:val="24"/>
        </w:rPr>
        <w:t>行政管理区是油库日常行政、业务联系和出入管理的区域，应布置在靠近库区主要人员出入口且便于对外联系的位置，并与储油区和装卸区保持规定的防火间距。结合穗东街道附近城市社区较多的特点，行政管理区应朝向人员进出较方便且不与汽车罐车路线交叉的一侧设置。该区应设置独立或受控的人员出入口，使外来办事人员和非生产人员不必进入储油区、装卸区及辅助生产区。</w:t>
      </w:r>
      <w:r w:rsidRPr="00B4749F">
        <w:rPr>
          <w:rFonts w:ascii="Times New Roman" w:eastAsia="宋体" w:hAnsi="Times New Roman" w:cs="Times New Roman" w:hint="eastAsia"/>
          <w:sz w:val="18"/>
          <w:vertAlign w:val="superscript"/>
        </w:rPr>
        <w:t>[19][21][22]</w:t>
      </w:r>
    </w:p>
    <w:p w14:paraId="234D4048" w14:textId="65A7E0FF" w:rsidR="00B4749F" w:rsidRDefault="00B4749F" w:rsidP="00B4749F">
      <w:pPr>
        <w:keepNext/>
        <w:spacing w:line="360" w:lineRule="auto"/>
        <w:ind w:firstLine="420"/>
        <w:rPr>
          <w:rFonts w:ascii="Times New Roman" w:eastAsia="宋体" w:hAnsi="Times New Roman" w:cs="Times New Roman" w:hint="eastAsia"/>
          <w:sz w:val="24"/>
        </w:rPr>
      </w:pPr>
      <w:r>
        <w:rPr>
          <w:rFonts w:ascii="Times New Roman" w:eastAsia="宋体" w:hAnsi="Times New Roman" w:cs="Times New Roman" w:hint="eastAsia"/>
          <w:sz w:val="24"/>
        </w:rPr>
        <w:t>本设计行政管理区主要布置门卫、办公室、会议及资料管理等非生产性用房。行政管理区与生产作业区之间应设置实体围墙、围栏或门禁控制设施，人员通道与汽车罐车通道分开布置。行政管理建筑的位置还应结合当地全年风向和事故油气可能扩散方向综合确定，尽量降低生产区泄漏油气对办公人员的影响。</w:t>
      </w:r>
    </w:p>
    <w:p w14:paraId="753A4776" w14:textId="57D45F8B" w:rsidR="00B4749F" w:rsidRDefault="00B4749F" w:rsidP="00B4749F">
      <w:pPr>
        <w:keepNext/>
        <w:spacing w:line="360" w:lineRule="auto"/>
        <w:ind w:firstLine="420"/>
        <w:rPr>
          <w:rFonts w:ascii="Times New Roman" w:eastAsia="宋体" w:hAnsi="Times New Roman" w:cs="Times New Roman" w:hint="eastAsia"/>
          <w:sz w:val="24"/>
        </w:rPr>
      </w:pPr>
      <w:r>
        <w:rPr>
          <w:rFonts w:ascii="Times New Roman" w:eastAsia="宋体" w:hAnsi="Times New Roman" w:cs="Times New Roman" w:hint="eastAsia"/>
          <w:sz w:val="24"/>
        </w:rPr>
        <w:t>本设计任务书未提出职工宿舍、食堂和浴室等生活设施的建设要求，因此本设计不</w:t>
      </w:r>
      <w:r>
        <w:rPr>
          <w:rFonts w:ascii="Times New Roman" w:eastAsia="宋体" w:hAnsi="Times New Roman" w:cs="Times New Roman" w:hint="eastAsia"/>
          <w:sz w:val="24"/>
        </w:rPr>
        <w:lastRenderedPageBreak/>
        <w:t>在库区内设置上述生活设施。后续确有建设需要时，应在库区外另行选址，并按有关规定确定其与石油库的安全距离。行政管理区不得承担汽车罐车等生产车辆的等候、停车和调头功能。</w:t>
      </w:r>
    </w:p>
    <w:p w14:paraId="19DA2196" w14:textId="60473010" w:rsidR="00B4749F" w:rsidRDefault="00B4749F" w:rsidP="00B4749F">
      <w:pPr>
        <w:keepNext/>
        <w:spacing w:before="120" w:line="360" w:lineRule="auto"/>
        <w:jc w:val="left"/>
        <w:rPr>
          <w:rFonts w:ascii="Times New Roman" w:eastAsia="黑体" w:hAnsi="Times New Roman" w:cs="Times New Roman" w:hint="eastAsia"/>
          <w:b/>
          <w:sz w:val="24"/>
        </w:rPr>
      </w:pPr>
      <w:r>
        <w:rPr>
          <w:rFonts w:ascii="Times New Roman" w:eastAsia="黑体" w:hAnsi="Times New Roman" w:cs="Times New Roman" w:hint="eastAsia"/>
          <w:b/>
          <w:sz w:val="24"/>
        </w:rPr>
        <w:t>（</w:t>
      </w:r>
      <w:r>
        <w:rPr>
          <w:rFonts w:ascii="Times New Roman" w:eastAsia="黑体" w:hAnsi="Times New Roman" w:cs="Times New Roman" w:hint="eastAsia"/>
          <w:b/>
          <w:sz w:val="24"/>
        </w:rPr>
        <w:t>4</w:t>
      </w:r>
      <w:r>
        <w:rPr>
          <w:rFonts w:ascii="Times New Roman" w:eastAsia="黑体" w:hAnsi="Times New Roman" w:cs="Times New Roman" w:hint="eastAsia"/>
          <w:b/>
          <w:sz w:val="24"/>
        </w:rPr>
        <w:t>）辅助生产区</w:t>
      </w:r>
    </w:p>
    <w:p w14:paraId="2A2A8229" w14:textId="3BD0203C" w:rsidR="00B4749F" w:rsidRDefault="00B4749F" w:rsidP="00B4749F">
      <w:pPr>
        <w:keepNext/>
        <w:spacing w:line="360" w:lineRule="auto"/>
        <w:ind w:firstLine="420"/>
        <w:rPr>
          <w:rFonts w:ascii="Times New Roman" w:eastAsia="宋体" w:hAnsi="Times New Roman" w:cs="Times New Roman" w:hint="eastAsia"/>
          <w:sz w:val="24"/>
        </w:rPr>
      </w:pPr>
      <w:r>
        <w:rPr>
          <w:rFonts w:ascii="Times New Roman" w:eastAsia="宋体" w:hAnsi="Times New Roman" w:cs="Times New Roman" w:hint="eastAsia"/>
          <w:sz w:val="24"/>
        </w:rPr>
        <w:t>辅助生产区用于布置保证油库安全运行、动力供应、设备维护、质量管理和环境保护所需的设施。本设计根据实际需要设置消防泵房、消防水池或消防水罐、变配电设施、生产控制及仪表设施、维修及器材储存设施、化验设施和含油污水处理设施。辅助生产设施在满足防火间距和独立运行要求的前提下可相对集中布置，以减少重复建设并便于运行管理。</w:t>
      </w:r>
      <w:r w:rsidRPr="00B4749F">
        <w:rPr>
          <w:rFonts w:ascii="Times New Roman" w:eastAsia="宋体" w:hAnsi="Times New Roman" w:cs="Times New Roman" w:hint="eastAsia"/>
          <w:sz w:val="18"/>
          <w:vertAlign w:val="superscript"/>
        </w:rPr>
        <w:t>[19][21]</w:t>
      </w:r>
    </w:p>
    <w:p w14:paraId="2A86A23D" w14:textId="0A0AC4F9" w:rsidR="00B4749F" w:rsidRDefault="00B4749F" w:rsidP="00B4749F">
      <w:pPr>
        <w:keepNext/>
        <w:spacing w:line="360" w:lineRule="auto"/>
        <w:ind w:firstLine="420"/>
        <w:rPr>
          <w:rFonts w:ascii="Times New Roman" w:eastAsia="宋体" w:hAnsi="Times New Roman" w:cs="Times New Roman" w:hint="eastAsia"/>
          <w:sz w:val="24"/>
        </w:rPr>
      </w:pPr>
      <w:r>
        <w:rPr>
          <w:rFonts w:ascii="Times New Roman" w:eastAsia="宋体" w:hAnsi="Times New Roman" w:cs="Times New Roman" w:hint="eastAsia"/>
          <w:sz w:val="24"/>
        </w:rPr>
        <w:t>消防泵房和消防水储存设施应在满足安全距离的前提下靠近主要保护对象布置，并保证事故状态下消防人员能够从安全方向进入和操作。变配电设施宜靠近主要用电负荷中心，但不得布置在可能受到油品泄漏、可燃油气积聚或火灾直接威胁的位置。生产控制和仪表设施应避开爆炸危险区域，并具备对储罐液位、泵组状态、管线压力、可燃气体报警和紧急切断系统进行监控的条件。</w:t>
      </w:r>
    </w:p>
    <w:p w14:paraId="77F314A4" w14:textId="436BE019" w:rsidR="00B4749F" w:rsidRDefault="00B4749F" w:rsidP="00B4749F">
      <w:pPr>
        <w:keepNext/>
        <w:spacing w:line="360" w:lineRule="auto"/>
        <w:ind w:firstLine="420"/>
        <w:rPr>
          <w:rFonts w:ascii="Times New Roman" w:eastAsia="宋体" w:hAnsi="Times New Roman" w:cs="Times New Roman" w:hint="eastAsia"/>
          <w:sz w:val="24"/>
        </w:rPr>
      </w:pPr>
      <w:r>
        <w:rPr>
          <w:rFonts w:ascii="Times New Roman" w:eastAsia="宋体" w:hAnsi="Times New Roman" w:cs="Times New Roman" w:hint="eastAsia"/>
          <w:sz w:val="24"/>
        </w:rPr>
        <w:t>含油污水处理设施宜结合场地竖向布置在便于含油污水汇集的位置，并应避开行政管理区主要人员活动区域。鉴于穗东街道附近沿江低洼地区存在暴雨和高潮位共同作用下的内涝风险，含油污水处理设施不能简单设置在场地绝对最低点，其构筑物顶标高、防倒灌设施和事故状态储存能力应结合设计洪潮水位校核；变配电设施、生产控制设施和消防泵房的关键设备层应采取可靠的防淹措施。消防泵房、消防水设施、变配电设施以及含油污水处理设施的位置应分别服从消防取水、供电负荷和排水条件，不能仅为集中布置而忽略各自的安全及工艺要求。</w:t>
      </w:r>
      <w:r w:rsidRPr="00B4749F">
        <w:rPr>
          <w:rFonts w:ascii="Times New Roman" w:eastAsia="宋体" w:hAnsi="Times New Roman" w:cs="Times New Roman" w:hint="eastAsia"/>
          <w:sz w:val="18"/>
          <w:vertAlign w:val="superscript"/>
        </w:rPr>
        <w:t>[20][23]</w:t>
      </w:r>
    </w:p>
    <w:p w14:paraId="1A954A83" w14:textId="6C584CCB" w:rsidR="00B4749F" w:rsidRDefault="00B4749F" w:rsidP="00B4749F">
      <w:pPr>
        <w:keepNext/>
        <w:spacing w:line="360" w:lineRule="auto"/>
        <w:ind w:firstLine="420"/>
        <w:rPr>
          <w:rFonts w:ascii="Times New Roman" w:eastAsia="宋体" w:hAnsi="Times New Roman" w:cs="Times New Roman" w:hint="eastAsia"/>
          <w:sz w:val="24"/>
        </w:rPr>
      </w:pPr>
      <w:r>
        <w:rPr>
          <w:rFonts w:ascii="Times New Roman" w:eastAsia="宋体" w:hAnsi="Times New Roman" w:cs="Times New Roman" w:hint="eastAsia"/>
          <w:sz w:val="24"/>
        </w:rPr>
        <w:t>本设计</w:t>
      </w:r>
      <w:r>
        <w:rPr>
          <w:rFonts w:ascii="Times New Roman" w:eastAsia="宋体" w:hAnsi="Times New Roman" w:cs="Times New Roman" w:hint="eastAsia"/>
          <w:sz w:val="24"/>
        </w:rPr>
        <w:t>92</w:t>
      </w:r>
      <w:r>
        <w:rPr>
          <w:rFonts w:ascii="Times New Roman" w:eastAsia="宋体" w:hAnsi="Times New Roman" w:cs="Times New Roman" w:hint="eastAsia"/>
          <w:sz w:val="24"/>
        </w:rPr>
        <w:t>号汽油、</w:t>
      </w:r>
      <w:r>
        <w:rPr>
          <w:rFonts w:ascii="Times New Roman" w:eastAsia="宋体" w:hAnsi="Times New Roman" w:cs="Times New Roman" w:hint="eastAsia"/>
          <w:sz w:val="24"/>
        </w:rPr>
        <w:t>95</w:t>
      </w:r>
      <w:r>
        <w:rPr>
          <w:rFonts w:ascii="Times New Roman" w:eastAsia="宋体" w:hAnsi="Times New Roman" w:cs="Times New Roman" w:hint="eastAsia"/>
          <w:sz w:val="24"/>
        </w:rPr>
        <w:t>号汽油和</w:t>
      </w:r>
      <w:r>
        <w:rPr>
          <w:rFonts w:ascii="Times New Roman" w:eastAsia="宋体" w:hAnsi="Times New Roman" w:cs="Times New Roman" w:hint="eastAsia"/>
          <w:sz w:val="24"/>
        </w:rPr>
        <w:t>0</w:t>
      </w:r>
      <w:r>
        <w:rPr>
          <w:rFonts w:ascii="Times New Roman" w:eastAsia="宋体" w:hAnsi="Times New Roman" w:cs="Times New Roman" w:hint="eastAsia"/>
          <w:sz w:val="24"/>
        </w:rPr>
        <w:t>号柴油均采用常温储存和输送，不设置油品加热系统，因此辅助生产区不设置锅炉房，避免照搬重油库或原油库设计中的供热设施。</w:t>
      </w:r>
    </w:p>
    <w:p w14:paraId="5E324A83" w14:textId="4A6171BC" w:rsidR="00B4749F" w:rsidRDefault="00B4749F" w:rsidP="00B4749F">
      <w:pPr>
        <w:keepNext/>
        <w:spacing w:line="360" w:lineRule="auto"/>
        <w:ind w:firstLine="420"/>
        <w:rPr>
          <w:rFonts w:ascii="Times New Roman" w:eastAsia="宋体" w:hAnsi="Times New Roman" w:cs="Times New Roman" w:hint="eastAsia"/>
          <w:sz w:val="24"/>
        </w:rPr>
      </w:pPr>
      <w:r>
        <w:rPr>
          <w:rFonts w:ascii="Times New Roman" w:eastAsia="宋体" w:hAnsi="Times New Roman" w:cs="Times New Roman" w:hint="eastAsia"/>
          <w:sz w:val="24"/>
        </w:rPr>
        <w:t>综上，本油库形成以储油区为核心、装卸区靠近库外交通一侧、行政管理区靠近主要人员出入口、辅助生产区根据消防供水、供电负荷和污水排放条件布置的四区格局。各区之间通过消防道路、围墙或受控通道实现空间分隔和运行联系，油品运输流线、汽车罐车流线和办公人员流线相互分离。油库内各建（构）筑物及设施之间的最终防火距</w:t>
      </w:r>
      <w:r>
        <w:rPr>
          <w:rFonts w:ascii="Times New Roman" w:eastAsia="宋体" w:hAnsi="Times New Roman" w:cs="Times New Roman" w:hint="eastAsia"/>
          <w:sz w:val="24"/>
        </w:rPr>
        <w:lastRenderedPageBreak/>
        <w:t>离，应以</w:t>
      </w:r>
      <w:r>
        <w:rPr>
          <w:rFonts w:ascii="Times New Roman" w:eastAsia="宋体" w:hAnsi="Times New Roman" w:cs="Times New Roman" w:hint="eastAsia"/>
          <w:sz w:val="24"/>
        </w:rPr>
        <w:t>GB 50074</w:t>
      </w:r>
      <w:r>
        <w:rPr>
          <w:rFonts w:ascii="Times New Roman" w:eastAsia="宋体" w:hAnsi="Times New Roman" w:cs="Times New Roman" w:hint="eastAsia"/>
          <w:sz w:val="24"/>
        </w:rPr>
        <w:t>—</w:t>
      </w:r>
      <w:r>
        <w:rPr>
          <w:rFonts w:ascii="Times New Roman" w:eastAsia="宋体" w:hAnsi="Times New Roman" w:cs="Times New Roman" w:hint="eastAsia"/>
          <w:sz w:val="24"/>
        </w:rPr>
        <w:t>2014</w:t>
      </w:r>
      <w:r>
        <w:rPr>
          <w:rFonts w:ascii="Times New Roman" w:eastAsia="宋体" w:hAnsi="Times New Roman" w:cs="Times New Roman" w:hint="eastAsia"/>
          <w:sz w:val="24"/>
        </w:rPr>
        <w:t>表</w:t>
      </w:r>
      <w:r>
        <w:rPr>
          <w:rFonts w:ascii="Times New Roman" w:eastAsia="宋体" w:hAnsi="Times New Roman" w:cs="Times New Roman" w:hint="eastAsia"/>
          <w:sz w:val="24"/>
        </w:rPr>
        <w:t>5.1.3</w:t>
      </w:r>
      <w:r>
        <w:rPr>
          <w:rFonts w:ascii="Times New Roman" w:eastAsia="宋体" w:hAnsi="Times New Roman" w:cs="Times New Roman" w:hint="eastAsia"/>
          <w:sz w:val="24"/>
        </w:rPr>
        <w:t>及相关章节的计算和校核结果为准。</w:t>
      </w:r>
    </w:p>
    <w:p w14:paraId="35DD369D" w14:textId="0284E5B4" w:rsidR="00B4749F" w:rsidRDefault="00B4749F" w:rsidP="00B4749F">
      <w:pPr>
        <w:keepNext/>
        <w:spacing w:before="120" w:line="360" w:lineRule="auto"/>
        <w:jc w:val="left"/>
        <w:rPr>
          <w:rFonts w:ascii="Times New Roman" w:eastAsia="黑体" w:hAnsi="Times New Roman" w:cs="Times New Roman" w:hint="eastAsia"/>
          <w:b/>
          <w:sz w:val="24"/>
        </w:rPr>
      </w:pPr>
      <w:r>
        <w:rPr>
          <w:rFonts w:ascii="Times New Roman" w:eastAsia="黑体" w:hAnsi="Times New Roman" w:cs="Times New Roman" w:hint="eastAsia"/>
          <w:b/>
          <w:sz w:val="24"/>
        </w:rPr>
        <w:t>本节参考文献</w:t>
      </w:r>
    </w:p>
    <w:p w14:paraId="4D210F7D" w14:textId="085C08DA" w:rsidR="00B4749F" w:rsidRDefault="00B4749F" w:rsidP="00B4749F">
      <w:pPr>
        <w:keepNext/>
        <w:jc w:val="left"/>
        <w:rPr>
          <w:rFonts w:ascii="Times New Roman" w:eastAsia="宋体" w:hAnsi="Times New Roman" w:cs="Times New Roman" w:hint="eastAsia"/>
        </w:rPr>
      </w:pPr>
      <w:r>
        <w:rPr>
          <w:rFonts w:ascii="Times New Roman" w:eastAsia="宋体" w:hAnsi="Times New Roman" w:cs="Times New Roman" w:hint="eastAsia"/>
        </w:rPr>
        <w:t xml:space="preserve">[18] </w:t>
      </w:r>
      <w:r>
        <w:rPr>
          <w:rFonts w:ascii="Times New Roman" w:eastAsia="宋体" w:hAnsi="Times New Roman" w:cs="Times New Roman" w:hint="eastAsia"/>
        </w:rPr>
        <w:t>邢科伟</w:t>
      </w:r>
      <w:r>
        <w:rPr>
          <w:rFonts w:ascii="Times New Roman" w:eastAsia="宋体" w:hAnsi="Times New Roman" w:cs="Times New Roman" w:hint="eastAsia"/>
        </w:rPr>
        <w:t xml:space="preserve">, </w:t>
      </w:r>
      <w:r>
        <w:rPr>
          <w:rFonts w:ascii="Times New Roman" w:eastAsia="宋体" w:hAnsi="Times New Roman" w:cs="Times New Roman" w:hint="eastAsia"/>
        </w:rPr>
        <w:t>马秀让</w:t>
      </w:r>
      <w:r>
        <w:rPr>
          <w:rFonts w:ascii="Times New Roman" w:eastAsia="宋体" w:hAnsi="Times New Roman" w:cs="Times New Roman" w:hint="eastAsia"/>
        </w:rPr>
        <w:t xml:space="preserve">, </w:t>
      </w:r>
      <w:r>
        <w:rPr>
          <w:rFonts w:ascii="Times New Roman" w:eastAsia="宋体" w:hAnsi="Times New Roman" w:cs="Times New Roman" w:hint="eastAsia"/>
        </w:rPr>
        <w:t>刘占卿</w:t>
      </w:r>
      <w:r>
        <w:rPr>
          <w:rFonts w:ascii="Times New Roman" w:eastAsia="宋体" w:hAnsi="Times New Roman" w:cs="Times New Roman" w:hint="eastAsia"/>
        </w:rPr>
        <w:t xml:space="preserve">. </w:t>
      </w:r>
      <w:r>
        <w:rPr>
          <w:rFonts w:ascii="Times New Roman" w:eastAsia="宋体" w:hAnsi="Times New Roman" w:cs="Times New Roman" w:hint="eastAsia"/>
        </w:rPr>
        <w:t>油库加油站设计数据图表手册</w:t>
      </w:r>
      <w:r>
        <w:rPr>
          <w:rFonts w:ascii="Times New Roman" w:eastAsia="宋体" w:hAnsi="Times New Roman" w:cs="Times New Roman" w:hint="eastAsia"/>
        </w:rPr>
        <w:t xml:space="preserve">[M]. </w:t>
      </w:r>
      <w:r>
        <w:rPr>
          <w:rFonts w:ascii="Times New Roman" w:eastAsia="宋体" w:hAnsi="Times New Roman" w:cs="Times New Roman" w:hint="eastAsia"/>
        </w:rPr>
        <w:t>北京</w:t>
      </w:r>
      <w:r>
        <w:rPr>
          <w:rFonts w:ascii="Times New Roman" w:eastAsia="宋体" w:hAnsi="Times New Roman" w:cs="Times New Roman" w:hint="eastAsia"/>
        </w:rPr>
        <w:t xml:space="preserve">: </w:t>
      </w:r>
      <w:r>
        <w:rPr>
          <w:rFonts w:ascii="Times New Roman" w:eastAsia="宋体" w:hAnsi="Times New Roman" w:cs="Times New Roman" w:hint="eastAsia"/>
        </w:rPr>
        <w:t>中国石化出版社</w:t>
      </w:r>
      <w:r>
        <w:rPr>
          <w:rFonts w:ascii="Times New Roman" w:eastAsia="宋体" w:hAnsi="Times New Roman" w:cs="Times New Roman" w:hint="eastAsia"/>
        </w:rPr>
        <w:t>, 2015.</w:t>
      </w:r>
    </w:p>
    <w:p w14:paraId="32219640" w14:textId="4D8DE679" w:rsidR="00B4749F" w:rsidRDefault="00B4749F" w:rsidP="00B4749F">
      <w:pPr>
        <w:keepNext/>
        <w:jc w:val="left"/>
        <w:rPr>
          <w:rFonts w:ascii="Times New Roman" w:eastAsia="宋体" w:hAnsi="Times New Roman" w:cs="Times New Roman" w:hint="eastAsia"/>
        </w:rPr>
      </w:pPr>
      <w:r>
        <w:rPr>
          <w:rFonts w:ascii="Times New Roman" w:eastAsia="宋体" w:hAnsi="Times New Roman" w:cs="Times New Roman" w:hint="eastAsia"/>
        </w:rPr>
        <w:t xml:space="preserve">[19] </w:t>
      </w:r>
      <w:r>
        <w:rPr>
          <w:rFonts w:ascii="Times New Roman" w:eastAsia="宋体" w:hAnsi="Times New Roman" w:cs="Times New Roman" w:hint="eastAsia"/>
        </w:rPr>
        <w:t>油库毕业设计指导书</w:t>
      </w:r>
      <w:r>
        <w:rPr>
          <w:rFonts w:ascii="Times New Roman" w:eastAsia="宋体" w:hAnsi="Times New Roman" w:cs="Times New Roman" w:hint="eastAsia"/>
        </w:rPr>
        <w:t xml:space="preserve">[Z]. </w:t>
      </w:r>
      <w:r>
        <w:rPr>
          <w:rFonts w:ascii="Times New Roman" w:eastAsia="宋体" w:hAnsi="Times New Roman" w:cs="Times New Roman" w:hint="eastAsia"/>
        </w:rPr>
        <w:t>第五章“油库设计”</w:t>
      </w:r>
      <w:r>
        <w:rPr>
          <w:rFonts w:ascii="Times New Roman" w:eastAsia="宋体" w:hAnsi="Times New Roman" w:cs="Times New Roman" w:hint="eastAsia"/>
        </w:rPr>
        <w:t>: 144-146.</w:t>
      </w:r>
    </w:p>
    <w:p w14:paraId="4F50AF81" w14:textId="6569D7BB" w:rsidR="00B4749F" w:rsidRDefault="00B4749F" w:rsidP="00B4749F">
      <w:pPr>
        <w:keepNext/>
        <w:jc w:val="left"/>
        <w:rPr>
          <w:rFonts w:ascii="Times New Roman" w:eastAsia="宋体" w:hAnsi="Times New Roman" w:cs="Times New Roman" w:hint="eastAsia"/>
        </w:rPr>
      </w:pPr>
      <w:r>
        <w:rPr>
          <w:rFonts w:ascii="Times New Roman" w:eastAsia="宋体" w:hAnsi="Times New Roman" w:cs="Times New Roman" w:hint="eastAsia"/>
        </w:rPr>
        <w:t xml:space="preserve">[20] </w:t>
      </w:r>
      <w:r>
        <w:rPr>
          <w:rFonts w:ascii="Times New Roman" w:eastAsia="宋体" w:hAnsi="Times New Roman" w:cs="Times New Roman" w:hint="eastAsia"/>
        </w:rPr>
        <w:t>浅谈石油库总平面布置——合理的进行油库总平面布置</w:t>
      </w:r>
      <w:r>
        <w:rPr>
          <w:rFonts w:ascii="Times New Roman" w:eastAsia="宋体" w:hAnsi="Times New Roman" w:cs="Times New Roman" w:hint="eastAsia"/>
        </w:rPr>
        <w:t>[Z]. 2011(06): 16-17.</w:t>
      </w:r>
    </w:p>
    <w:p w14:paraId="3809230F" w14:textId="5192BFBA" w:rsidR="00B4749F" w:rsidRDefault="00B4749F" w:rsidP="00B4749F">
      <w:pPr>
        <w:keepNext/>
        <w:jc w:val="left"/>
        <w:rPr>
          <w:rFonts w:ascii="Times New Roman" w:eastAsia="宋体" w:hAnsi="Times New Roman" w:cs="Times New Roman" w:hint="eastAsia"/>
        </w:rPr>
      </w:pPr>
      <w:r>
        <w:rPr>
          <w:rFonts w:ascii="Times New Roman" w:eastAsia="宋体" w:hAnsi="Times New Roman" w:cs="Times New Roman" w:hint="eastAsia"/>
        </w:rPr>
        <w:t xml:space="preserve">[21] </w:t>
      </w:r>
      <w:r>
        <w:rPr>
          <w:rFonts w:ascii="Times New Roman" w:eastAsia="宋体" w:hAnsi="Times New Roman" w:cs="Times New Roman" w:hint="eastAsia"/>
        </w:rPr>
        <w:t>某油库工艺设计</w:t>
      </w:r>
      <w:r>
        <w:rPr>
          <w:rFonts w:ascii="Times New Roman" w:eastAsia="宋体" w:hAnsi="Times New Roman" w:cs="Times New Roman" w:hint="eastAsia"/>
        </w:rPr>
        <w:t xml:space="preserve">[Z]. </w:t>
      </w:r>
      <w:r>
        <w:rPr>
          <w:rFonts w:ascii="Times New Roman" w:eastAsia="宋体" w:hAnsi="Times New Roman" w:cs="Times New Roman" w:hint="eastAsia"/>
        </w:rPr>
        <w:t>第二章“总平面布置”</w:t>
      </w:r>
      <w:r>
        <w:rPr>
          <w:rFonts w:ascii="Times New Roman" w:eastAsia="宋体" w:hAnsi="Times New Roman" w:cs="Times New Roman" w:hint="eastAsia"/>
        </w:rPr>
        <w:t>.</w:t>
      </w:r>
    </w:p>
    <w:p w14:paraId="6C4D4F23" w14:textId="6CE1E03B" w:rsidR="00B4749F" w:rsidRDefault="00B4749F" w:rsidP="00B4749F">
      <w:pPr>
        <w:keepNext/>
        <w:jc w:val="left"/>
        <w:rPr>
          <w:rFonts w:ascii="Times New Roman" w:eastAsia="宋体" w:hAnsi="Times New Roman" w:cs="Times New Roman" w:hint="eastAsia"/>
        </w:rPr>
      </w:pPr>
      <w:r>
        <w:rPr>
          <w:rFonts w:ascii="Times New Roman" w:eastAsia="宋体" w:hAnsi="Times New Roman" w:cs="Times New Roman" w:hint="eastAsia"/>
        </w:rPr>
        <w:t xml:space="preserve">[22] </w:t>
      </w:r>
      <w:r>
        <w:rPr>
          <w:rFonts w:ascii="Times New Roman" w:eastAsia="宋体" w:hAnsi="Times New Roman" w:cs="Times New Roman" w:hint="eastAsia"/>
        </w:rPr>
        <w:t>广州市黄埔区人民政府穗东街道办事处</w:t>
      </w:r>
      <w:r>
        <w:rPr>
          <w:rFonts w:ascii="Times New Roman" w:eastAsia="宋体" w:hAnsi="Times New Roman" w:cs="Times New Roman" w:hint="eastAsia"/>
        </w:rPr>
        <w:t xml:space="preserve">. </w:t>
      </w:r>
      <w:r>
        <w:rPr>
          <w:rFonts w:ascii="Times New Roman" w:eastAsia="宋体" w:hAnsi="Times New Roman" w:cs="Times New Roman" w:hint="eastAsia"/>
        </w:rPr>
        <w:t>穗东街道区域概况</w:t>
      </w:r>
      <w:r>
        <w:rPr>
          <w:rFonts w:ascii="Times New Roman" w:eastAsia="宋体" w:hAnsi="Times New Roman" w:cs="Times New Roman" w:hint="eastAsia"/>
        </w:rPr>
        <w:t>[EB/OL]. 2025-04-27[2026-07-17]. https://www.hp.gov.cn/gzhpsdj/gkmlpt/content/10/10238/post_10238621.html.</w:t>
      </w:r>
    </w:p>
    <w:p w14:paraId="0F443F23" w14:textId="4836E719" w:rsidR="00B4749F" w:rsidRDefault="00B4749F" w:rsidP="00B4749F">
      <w:pPr>
        <w:keepNext/>
        <w:jc w:val="left"/>
        <w:rPr>
          <w:rFonts w:ascii="Times New Roman" w:eastAsia="宋体" w:hAnsi="Times New Roman" w:cs="Times New Roman" w:hint="eastAsia"/>
        </w:rPr>
      </w:pPr>
      <w:r>
        <w:rPr>
          <w:rFonts w:ascii="Times New Roman" w:eastAsia="宋体" w:hAnsi="Times New Roman" w:cs="Times New Roman" w:hint="eastAsia"/>
        </w:rPr>
        <w:t xml:space="preserve">[23] </w:t>
      </w:r>
      <w:r>
        <w:rPr>
          <w:rFonts w:ascii="Times New Roman" w:eastAsia="宋体" w:hAnsi="Times New Roman" w:cs="Times New Roman" w:hint="eastAsia"/>
        </w:rPr>
        <w:t>黄埔区珠江涌泵站建设工程海域使用论证报告书</w:t>
      </w:r>
      <w:r>
        <w:rPr>
          <w:rFonts w:ascii="Times New Roman" w:eastAsia="宋体" w:hAnsi="Times New Roman" w:cs="Times New Roman" w:hint="eastAsia"/>
        </w:rPr>
        <w:t>[R/OL]. 2026[2026-07-17]. https://ghzyj.gz.gov.cn/attachment/7/7987/7987416/10723831.pdf.</w:t>
      </w:r>
    </w:p>
    <w:p w14:paraId="7C92F936" w14:textId="2D6F8E05" w:rsidR="00B4749F" w:rsidRDefault="00B4749F" w:rsidP="00B4749F">
      <w:pPr>
        <w:keepNext/>
        <w:jc w:val="left"/>
        <w:rPr>
          <w:rFonts w:ascii="Times New Roman" w:eastAsia="宋体" w:hAnsi="Times New Roman" w:cs="Times New Roman" w:hint="eastAsia"/>
        </w:rPr>
      </w:pPr>
      <w:r>
        <w:rPr>
          <w:rFonts w:ascii="Times New Roman" w:eastAsia="宋体" w:hAnsi="Times New Roman" w:cs="Times New Roman" w:hint="eastAsia"/>
        </w:rPr>
        <w:t xml:space="preserve">[24] </w:t>
      </w:r>
      <w:r>
        <w:rPr>
          <w:rFonts w:ascii="Times New Roman" w:eastAsia="宋体" w:hAnsi="Times New Roman" w:cs="Times New Roman" w:hint="eastAsia"/>
        </w:rPr>
        <w:t>广州黄埔地区近年气象统计资料</w:t>
      </w:r>
      <w:r>
        <w:rPr>
          <w:rFonts w:ascii="Times New Roman" w:eastAsia="宋体" w:hAnsi="Times New Roman" w:cs="Times New Roman" w:hint="eastAsia"/>
        </w:rPr>
        <w:t xml:space="preserve">[Z]. </w:t>
      </w:r>
      <w:r>
        <w:rPr>
          <w:rFonts w:ascii="Times New Roman" w:eastAsia="宋体" w:hAnsi="Times New Roman" w:cs="Times New Roman" w:hint="eastAsia"/>
        </w:rPr>
        <w:t>本项目建设参数</w:t>
      </w:r>
      <w:r>
        <w:rPr>
          <w:rFonts w:ascii="Times New Roman" w:eastAsia="宋体" w:hAnsi="Times New Roman" w:cs="Times New Roman" w:hint="eastAsia"/>
        </w:rPr>
        <w:t>.</w:t>
      </w:r>
    </w:p>
    <w:p w14:paraId="6C78A5E0" w14:textId="77777777" w:rsidR="00B4749F" w:rsidRPr="00B4749F" w:rsidRDefault="00B4749F" w:rsidP="00B4749F">
      <w:pPr>
        <w:keepNext/>
        <w:jc w:val="left"/>
        <w:rPr>
          <w:rFonts w:ascii="Times New Roman" w:eastAsia="宋体" w:hAnsi="Times New Roman" w:cs="Times New Roman" w:hint="eastAsia"/>
        </w:rPr>
      </w:pPr>
    </w:p>
    <w:sectPr w:rsidR="00B4749F" w:rsidRPr="00B4749F" w:rsidSect="00B4749F">
      <w:pgSz w:w="11906" w:h="16838"/>
      <w:pgMar w:top="1417" w:right="1361" w:bottom="1417" w:left="1474" w:header="850" w:footer="850"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49F"/>
    <w:rsid w:val="00B4749F"/>
    <w:rsid w:val="00C757D1"/>
    <w:rsid w:val="00F073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25920"/>
  <w15:chartTrackingRefBased/>
  <w15:docId w15:val="{6C158C83-E9A4-4379-9129-C1B163B4E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4749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4749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4749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4749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4749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4749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4749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4749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4749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4749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4749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4749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4749F"/>
    <w:rPr>
      <w:rFonts w:cstheme="majorBidi"/>
      <w:color w:val="0F4761" w:themeColor="accent1" w:themeShade="BF"/>
      <w:sz w:val="28"/>
      <w:szCs w:val="28"/>
    </w:rPr>
  </w:style>
  <w:style w:type="character" w:customStyle="1" w:styleId="50">
    <w:name w:val="标题 5 字符"/>
    <w:basedOn w:val="a0"/>
    <w:link w:val="5"/>
    <w:uiPriority w:val="9"/>
    <w:semiHidden/>
    <w:rsid w:val="00B4749F"/>
    <w:rPr>
      <w:rFonts w:cstheme="majorBidi"/>
      <w:color w:val="0F4761" w:themeColor="accent1" w:themeShade="BF"/>
      <w:sz w:val="24"/>
      <w:szCs w:val="24"/>
    </w:rPr>
  </w:style>
  <w:style w:type="character" w:customStyle="1" w:styleId="60">
    <w:name w:val="标题 6 字符"/>
    <w:basedOn w:val="a0"/>
    <w:link w:val="6"/>
    <w:uiPriority w:val="9"/>
    <w:semiHidden/>
    <w:rsid w:val="00B4749F"/>
    <w:rPr>
      <w:rFonts w:cstheme="majorBidi"/>
      <w:b/>
      <w:bCs/>
      <w:color w:val="0F4761" w:themeColor="accent1" w:themeShade="BF"/>
    </w:rPr>
  </w:style>
  <w:style w:type="character" w:customStyle="1" w:styleId="70">
    <w:name w:val="标题 7 字符"/>
    <w:basedOn w:val="a0"/>
    <w:link w:val="7"/>
    <w:uiPriority w:val="9"/>
    <w:semiHidden/>
    <w:rsid w:val="00B4749F"/>
    <w:rPr>
      <w:rFonts w:cstheme="majorBidi"/>
      <w:b/>
      <w:bCs/>
      <w:color w:val="595959" w:themeColor="text1" w:themeTint="A6"/>
    </w:rPr>
  </w:style>
  <w:style w:type="character" w:customStyle="1" w:styleId="80">
    <w:name w:val="标题 8 字符"/>
    <w:basedOn w:val="a0"/>
    <w:link w:val="8"/>
    <w:uiPriority w:val="9"/>
    <w:semiHidden/>
    <w:rsid w:val="00B4749F"/>
    <w:rPr>
      <w:rFonts w:cstheme="majorBidi"/>
      <w:color w:val="595959" w:themeColor="text1" w:themeTint="A6"/>
    </w:rPr>
  </w:style>
  <w:style w:type="character" w:customStyle="1" w:styleId="90">
    <w:name w:val="标题 9 字符"/>
    <w:basedOn w:val="a0"/>
    <w:link w:val="9"/>
    <w:uiPriority w:val="9"/>
    <w:semiHidden/>
    <w:rsid w:val="00B4749F"/>
    <w:rPr>
      <w:rFonts w:eastAsiaTheme="majorEastAsia" w:cstheme="majorBidi"/>
      <w:color w:val="595959" w:themeColor="text1" w:themeTint="A6"/>
    </w:rPr>
  </w:style>
  <w:style w:type="paragraph" w:styleId="a3">
    <w:name w:val="Title"/>
    <w:basedOn w:val="a"/>
    <w:next w:val="a"/>
    <w:link w:val="a4"/>
    <w:uiPriority w:val="10"/>
    <w:qFormat/>
    <w:rsid w:val="00B4749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4749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4749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4749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4749F"/>
    <w:pPr>
      <w:spacing w:before="160" w:after="160"/>
      <w:jc w:val="center"/>
    </w:pPr>
    <w:rPr>
      <w:i/>
      <w:iCs/>
      <w:color w:val="404040" w:themeColor="text1" w:themeTint="BF"/>
    </w:rPr>
  </w:style>
  <w:style w:type="character" w:customStyle="1" w:styleId="a8">
    <w:name w:val="引用 字符"/>
    <w:basedOn w:val="a0"/>
    <w:link w:val="a7"/>
    <w:uiPriority w:val="29"/>
    <w:rsid w:val="00B4749F"/>
    <w:rPr>
      <w:i/>
      <w:iCs/>
      <w:color w:val="404040" w:themeColor="text1" w:themeTint="BF"/>
    </w:rPr>
  </w:style>
  <w:style w:type="paragraph" w:styleId="a9">
    <w:name w:val="List Paragraph"/>
    <w:basedOn w:val="a"/>
    <w:uiPriority w:val="34"/>
    <w:qFormat/>
    <w:rsid w:val="00B4749F"/>
    <w:pPr>
      <w:ind w:left="720"/>
      <w:contextualSpacing/>
    </w:pPr>
  </w:style>
  <w:style w:type="character" w:styleId="aa">
    <w:name w:val="Intense Emphasis"/>
    <w:basedOn w:val="a0"/>
    <w:uiPriority w:val="21"/>
    <w:qFormat/>
    <w:rsid w:val="00B4749F"/>
    <w:rPr>
      <w:i/>
      <w:iCs/>
      <w:color w:val="0F4761" w:themeColor="accent1" w:themeShade="BF"/>
    </w:rPr>
  </w:style>
  <w:style w:type="paragraph" w:styleId="ab">
    <w:name w:val="Intense Quote"/>
    <w:basedOn w:val="a"/>
    <w:next w:val="a"/>
    <w:link w:val="ac"/>
    <w:uiPriority w:val="30"/>
    <w:qFormat/>
    <w:rsid w:val="00B474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4749F"/>
    <w:rPr>
      <w:i/>
      <w:iCs/>
      <w:color w:val="0F4761" w:themeColor="accent1" w:themeShade="BF"/>
    </w:rPr>
  </w:style>
  <w:style w:type="character" w:styleId="ad">
    <w:name w:val="Intense Reference"/>
    <w:basedOn w:val="a0"/>
    <w:uiPriority w:val="32"/>
    <w:qFormat/>
    <w:rsid w:val="00B474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664</Words>
  <Characters>3785</Characters>
  <Application>Microsoft Office Word</Application>
  <DocSecurity>0</DocSecurity>
  <Lines>31</Lines>
  <Paragraphs>8</Paragraphs>
  <ScaleCrop>false</ScaleCrop>
  <Company/>
  <LinksUpToDate>false</LinksUpToDate>
  <CharactersWithSpaces>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L</dc:creator>
  <cp:keywords/>
  <dc:description/>
  <cp:lastModifiedBy>ing L</cp:lastModifiedBy>
  <cp:revision>1</cp:revision>
  <dcterms:created xsi:type="dcterms:W3CDTF">2026-07-17T15:25:00Z</dcterms:created>
  <dcterms:modified xsi:type="dcterms:W3CDTF">2026-07-17T15:25:00Z</dcterms:modified>
</cp:coreProperties>
</file>