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spacing w:before="60" w:after="60" w:line="360" w:lineRule="auto"/>
        <w:jc w:val="center"/>
      </w:pPr>
      <w:r>
        <w:rPr>
          <w:rFonts w:ascii="Times New Roman" w:hAnsi="Times New Roman" w:eastAsia="黑体"/>
          <w:b/>
          <w:sz w:val="32"/>
        </w:rPr>
        <w:t>第7章 安全与消防设计</w:t>
      </w:r>
    </w:p>
    <w:p>
      <w:pPr>
        <w:keepNext w:val="0"/>
        <w:keepLines/>
        <w:spacing w:line="360" w:lineRule="auto" w:before="0" w:after="0"/>
        <w:ind w:firstLine="480"/>
        <w:jc w:val="both"/>
      </w:pPr>
      <w:r>
        <w:rPr>
          <w:rFonts w:ascii="Times New Roman" w:hAnsi="Times New Roman" w:eastAsia="宋体"/>
          <w:sz w:val="24"/>
        </w:rPr>
        <w:t>本章依据第4～6章确定的总平面、储罐及工艺参数完成安全与消防设计。油库位于广州市黄埔区黄埔东路旁，设置7座5000 m³地上立式储罐，储罐内径24.0 m、罐壁高度12.0 m。其中92号汽油设3座内浮顶罐，95号汽油设2座内浮顶罐，0号柴油设2座固定顶罐。按GB 50074—2014第3.0.3条，汽油按甲B类液体设计，常温储存的0号柴油按丙A类液体设计；经第4章折算，储罐计算总容量为30000 m³，油库等级为二级。</w:t>
      </w:r>
    </w:p>
    <w:p>
      <w:pPr>
        <w:keepNext w:val="0"/>
        <w:keepLines/>
        <w:spacing w:line="360" w:lineRule="auto" w:before="0" w:after="0"/>
        <w:ind w:firstLine="480"/>
        <w:jc w:val="both"/>
      </w:pPr>
      <w:r>
        <w:rPr>
          <w:rFonts w:ascii="Times New Roman" w:hAnsi="Times New Roman" w:eastAsia="宋体"/>
          <w:sz w:val="24"/>
        </w:rPr>
        <w:t>本章以《石油库设计规范》GB 50074—2014为主控标准，泡沫灭火系统执行《泡沫灭火系统技术标准》GB 50151—2021，消防给水执行《消防给水及消火栓系统技术规范》GB 50974—2014，防雷、防静电及HSE设计执行现行国家标准。</w:t>
      </w:r>
    </w:p>
    <w:p>
      <w:pPr>
        <w:pStyle w:val="6"/>
        <w:keepNext/>
        <w:pageBreakBefore w:val="0"/>
        <w:spacing w:before="120" w:after="60"/>
        <w:jc w:val="center"/>
      </w:pPr>
      <w:r>
        <w:rPr>
          <w:rFonts w:ascii="Times New Roman" w:hAnsi="Times New Roman" w:eastAsia="宋体"/>
          <w:b/>
          <w:sz w:val="22"/>
        </w:rPr>
        <w:t>表7-1 本章主要设计依据</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71"/>
        <w:gridCol w:w="3402"/>
        <w:gridCol w:w="3629"/>
      </w:tblGrid>
      <w:tr>
        <w:trPr>
          <w:tblHeader w:val="true"/>
        </w:trPr>
        <w:tc>
          <w:tcPr>
            <w:tcW w:type="dxa" w:w="1871"/>
            <w:vAlign w:val="center"/>
          </w:tcPr>
          <w:p>
            <w:pPr>
              <w:keepNext/>
              <w:spacing w:before="0" w:after="0" w:line="240" w:lineRule="auto"/>
              <w:jc w:val="center"/>
            </w:pPr>
            <w:r/>
            <w:r>
              <w:rPr>
                <w:rFonts w:ascii="Times New Roman" w:hAnsi="Times New Roman" w:eastAsia="宋体"/>
                <w:b/>
                <w:sz w:val="18"/>
              </w:rPr>
              <w:t>标准编号</w:t>
            </w:r>
          </w:p>
        </w:tc>
        <w:tc>
          <w:tcPr>
            <w:tcW w:type="dxa" w:w="3402"/>
            <w:vAlign w:val="center"/>
          </w:tcPr>
          <w:p>
            <w:pPr>
              <w:keepNext/>
              <w:spacing w:before="0" w:after="0" w:line="240" w:lineRule="auto"/>
              <w:jc w:val="center"/>
            </w:pPr>
            <w:r/>
            <w:r>
              <w:rPr>
                <w:rFonts w:ascii="Times New Roman" w:hAnsi="Times New Roman" w:eastAsia="宋体"/>
                <w:b/>
                <w:sz w:val="18"/>
              </w:rPr>
              <w:t>标准名称</w:t>
            </w:r>
          </w:p>
        </w:tc>
        <w:tc>
          <w:tcPr>
            <w:tcW w:type="dxa" w:w="3629"/>
            <w:vAlign w:val="center"/>
          </w:tcPr>
          <w:p>
            <w:pPr>
              <w:keepNext/>
              <w:spacing w:before="0" w:after="0" w:line="240" w:lineRule="auto"/>
              <w:jc w:val="center"/>
            </w:pPr>
            <w:r/>
            <w:r>
              <w:rPr>
                <w:rFonts w:ascii="Times New Roman" w:hAnsi="Times New Roman" w:eastAsia="宋体"/>
                <w:b/>
                <w:sz w:val="18"/>
              </w:rPr>
              <w:t>本章用途</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50074—2014</w:t>
            </w:r>
          </w:p>
        </w:tc>
        <w:tc>
          <w:tcPr>
            <w:tcW w:type="dxa" w:w="3402"/>
            <w:vAlign w:val="center"/>
          </w:tcPr>
          <w:p>
            <w:pPr>
              <w:spacing w:before="0" w:after="0" w:line="240" w:lineRule="auto"/>
              <w:jc w:val="center"/>
            </w:pPr>
            <w:r/>
            <w:r>
              <w:rPr>
                <w:rFonts w:ascii="Times New Roman" w:hAnsi="Times New Roman" w:eastAsia="宋体"/>
                <w:b w:val="0"/>
                <w:sz w:val="18"/>
              </w:rPr>
              <w:t>石油库设计规范</w:t>
            </w:r>
          </w:p>
        </w:tc>
        <w:tc>
          <w:tcPr>
            <w:tcW w:type="dxa" w:w="3629"/>
            <w:vAlign w:val="center"/>
          </w:tcPr>
          <w:p>
            <w:pPr>
              <w:spacing w:before="0" w:after="0" w:line="240" w:lineRule="auto"/>
              <w:jc w:val="center"/>
            </w:pPr>
            <w:r/>
            <w:r>
              <w:rPr>
                <w:rFonts w:ascii="Times New Roman" w:hAnsi="Times New Roman" w:eastAsia="宋体"/>
                <w:b w:val="0"/>
                <w:sz w:val="18"/>
              </w:rPr>
              <w:t>防火堤、消防给水、泡沫系统、防雷防静电</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55036—2022</w:t>
            </w:r>
          </w:p>
        </w:tc>
        <w:tc>
          <w:tcPr>
            <w:tcW w:type="dxa" w:w="3402"/>
            <w:vAlign w:val="center"/>
          </w:tcPr>
          <w:p>
            <w:pPr>
              <w:spacing w:before="0" w:after="0" w:line="240" w:lineRule="auto"/>
              <w:jc w:val="center"/>
            </w:pPr>
            <w:r/>
            <w:r>
              <w:rPr>
                <w:rFonts w:ascii="Times New Roman" w:hAnsi="Times New Roman" w:eastAsia="宋体"/>
                <w:b w:val="0"/>
                <w:sz w:val="18"/>
              </w:rPr>
              <w:t>消防设施通用规范</w:t>
            </w:r>
          </w:p>
        </w:tc>
        <w:tc>
          <w:tcPr>
            <w:tcW w:type="dxa" w:w="3629"/>
            <w:vAlign w:val="center"/>
          </w:tcPr>
          <w:p>
            <w:pPr>
              <w:spacing w:before="0" w:after="0" w:line="240" w:lineRule="auto"/>
              <w:jc w:val="center"/>
            </w:pPr>
            <w:r/>
            <w:r>
              <w:rPr>
                <w:rFonts w:ascii="Times New Roman" w:hAnsi="Times New Roman" w:eastAsia="宋体"/>
                <w:b w:val="0"/>
                <w:sz w:val="18"/>
              </w:rPr>
              <w:t>消防设施功能及可靠性</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50151—2021</w:t>
            </w:r>
          </w:p>
        </w:tc>
        <w:tc>
          <w:tcPr>
            <w:tcW w:type="dxa" w:w="3402"/>
            <w:vAlign w:val="center"/>
          </w:tcPr>
          <w:p>
            <w:pPr>
              <w:spacing w:before="0" w:after="0" w:line="240" w:lineRule="auto"/>
              <w:jc w:val="center"/>
            </w:pPr>
            <w:r/>
            <w:r>
              <w:rPr>
                <w:rFonts w:ascii="Times New Roman" w:hAnsi="Times New Roman" w:eastAsia="宋体"/>
                <w:b w:val="0"/>
                <w:sz w:val="18"/>
              </w:rPr>
              <w:t>泡沫灭火系统技术标准</w:t>
            </w:r>
          </w:p>
        </w:tc>
        <w:tc>
          <w:tcPr>
            <w:tcW w:type="dxa" w:w="3629"/>
            <w:vAlign w:val="center"/>
          </w:tcPr>
          <w:p>
            <w:pPr>
              <w:spacing w:before="0" w:after="0" w:line="240" w:lineRule="auto"/>
              <w:jc w:val="center"/>
            </w:pPr>
            <w:r/>
            <w:r>
              <w:rPr>
                <w:rFonts w:ascii="Times New Roman" w:hAnsi="Times New Roman" w:eastAsia="宋体"/>
                <w:b w:val="0"/>
                <w:sz w:val="18"/>
              </w:rPr>
              <w:t>泡沫强度、时间、组件及系统流量</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50974—2014</w:t>
            </w:r>
          </w:p>
        </w:tc>
        <w:tc>
          <w:tcPr>
            <w:tcW w:type="dxa" w:w="3402"/>
            <w:vAlign w:val="center"/>
          </w:tcPr>
          <w:p>
            <w:pPr>
              <w:spacing w:before="0" w:after="0" w:line="240" w:lineRule="auto"/>
              <w:jc w:val="center"/>
            </w:pPr>
            <w:r/>
            <w:r>
              <w:rPr>
                <w:rFonts w:ascii="Times New Roman" w:hAnsi="Times New Roman" w:eastAsia="宋体"/>
                <w:b w:val="0"/>
                <w:sz w:val="18"/>
              </w:rPr>
              <w:t>消防给水及消火栓系统技术规范</w:t>
            </w:r>
          </w:p>
        </w:tc>
        <w:tc>
          <w:tcPr>
            <w:tcW w:type="dxa" w:w="3629"/>
            <w:vAlign w:val="center"/>
          </w:tcPr>
          <w:p>
            <w:pPr>
              <w:spacing w:before="0" w:after="0" w:line="240" w:lineRule="auto"/>
              <w:jc w:val="center"/>
            </w:pPr>
            <w:r/>
            <w:r>
              <w:rPr>
                <w:rFonts w:ascii="Times New Roman" w:hAnsi="Times New Roman" w:eastAsia="宋体"/>
                <w:b w:val="0"/>
                <w:sz w:val="18"/>
              </w:rPr>
              <w:t>消防水源、水泵、管网及消火栓</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50057—2010</w:t>
            </w:r>
          </w:p>
        </w:tc>
        <w:tc>
          <w:tcPr>
            <w:tcW w:type="dxa" w:w="3402"/>
            <w:vAlign w:val="center"/>
          </w:tcPr>
          <w:p>
            <w:pPr>
              <w:spacing w:before="0" w:after="0" w:line="240" w:lineRule="auto"/>
              <w:jc w:val="center"/>
            </w:pPr>
            <w:r/>
            <w:r>
              <w:rPr>
                <w:rFonts w:ascii="Times New Roman" w:hAnsi="Times New Roman" w:eastAsia="宋体"/>
                <w:b w:val="0"/>
                <w:sz w:val="18"/>
              </w:rPr>
              <w:t>建筑物防雷设计规范</w:t>
            </w:r>
          </w:p>
        </w:tc>
        <w:tc>
          <w:tcPr>
            <w:tcW w:type="dxa" w:w="3629"/>
            <w:vAlign w:val="center"/>
          </w:tcPr>
          <w:p>
            <w:pPr>
              <w:spacing w:before="0" w:after="0" w:line="240" w:lineRule="auto"/>
              <w:jc w:val="center"/>
            </w:pPr>
            <w:r/>
            <w:r>
              <w:rPr>
                <w:rFonts w:ascii="Times New Roman" w:hAnsi="Times New Roman" w:eastAsia="宋体"/>
                <w:b w:val="0"/>
                <w:sz w:val="18"/>
              </w:rPr>
              <w:t>建筑物防雷及电磁脉冲防护</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12158—2024</w:t>
            </w:r>
          </w:p>
        </w:tc>
        <w:tc>
          <w:tcPr>
            <w:tcW w:type="dxa" w:w="3402"/>
            <w:vAlign w:val="center"/>
          </w:tcPr>
          <w:p>
            <w:pPr>
              <w:spacing w:before="0" w:after="0" w:line="240" w:lineRule="auto"/>
              <w:jc w:val="center"/>
            </w:pPr>
            <w:r/>
            <w:r>
              <w:rPr>
                <w:rFonts w:ascii="Times New Roman" w:hAnsi="Times New Roman" w:eastAsia="宋体"/>
                <w:b w:val="0"/>
                <w:sz w:val="18"/>
              </w:rPr>
              <w:t>防止静电事故通用要求</w:t>
            </w:r>
          </w:p>
        </w:tc>
        <w:tc>
          <w:tcPr>
            <w:tcW w:type="dxa" w:w="3629"/>
            <w:vAlign w:val="center"/>
          </w:tcPr>
          <w:p>
            <w:pPr>
              <w:spacing w:before="0" w:after="0" w:line="240" w:lineRule="auto"/>
              <w:jc w:val="center"/>
            </w:pPr>
            <w:r/>
            <w:r>
              <w:rPr>
                <w:rFonts w:ascii="Times New Roman" w:hAnsi="Times New Roman" w:eastAsia="宋体"/>
                <w:b w:val="0"/>
                <w:sz w:val="18"/>
              </w:rPr>
              <w:t>静电风险控制</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GB/T 21431—2023</w:t>
            </w:r>
          </w:p>
        </w:tc>
        <w:tc>
          <w:tcPr>
            <w:tcW w:type="dxa" w:w="3402"/>
            <w:vAlign w:val="center"/>
          </w:tcPr>
          <w:p>
            <w:pPr>
              <w:spacing w:before="0" w:after="0" w:line="240" w:lineRule="auto"/>
              <w:jc w:val="center"/>
            </w:pPr>
            <w:r/>
            <w:r>
              <w:rPr>
                <w:rFonts w:ascii="Times New Roman" w:hAnsi="Times New Roman" w:eastAsia="宋体"/>
                <w:b w:val="0"/>
                <w:sz w:val="18"/>
              </w:rPr>
              <w:t>建筑物雷电防护装置检测技术规范</w:t>
            </w:r>
          </w:p>
        </w:tc>
        <w:tc>
          <w:tcPr>
            <w:tcW w:type="dxa" w:w="3629"/>
            <w:vAlign w:val="center"/>
          </w:tcPr>
          <w:p>
            <w:pPr>
              <w:spacing w:before="0" w:after="0" w:line="240" w:lineRule="auto"/>
              <w:jc w:val="center"/>
            </w:pPr>
            <w:r/>
            <w:r>
              <w:rPr>
                <w:rFonts w:ascii="Times New Roman" w:hAnsi="Times New Roman" w:eastAsia="宋体"/>
                <w:b w:val="0"/>
                <w:sz w:val="18"/>
              </w:rPr>
              <w:t>防雷装置检测</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30871—2022</w:t>
            </w:r>
          </w:p>
        </w:tc>
        <w:tc>
          <w:tcPr>
            <w:tcW w:type="dxa" w:w="3402"/>
            <w:vAlign w:val="center"/>
          </w:tcPr>
          <w:p>
            <w:pPr>
              <w:spacing w:before="0" w:after="0" w:line="240" w:lineRule="auto"/>
              <w:jc w:val="center"/>
            </w:pPr>
            <w:r/>
            <w:r>
              <w:rPr>
                <w:rFonts w:ascii="Times New Roman" w:hAnsi="Times New Roman" w:eastAsia="宋体"/>
                <w:b w:val="0"/>
                <w:sz w:val="18"/>
              </w:rPr>
              <w:t>危险化学品企业特殊作业安全规范</w:t>
            </w:r>
          </w:p>
        </w:tc>
        <w:tc>
          <w:tcPr>
            <w:tcW w:type="dxa" w:w="3629"/>
            <w:vAlign w:val="center"/>
          </w:tcPr>
          <w:p>
            <w:pPr>
              <w:spacing w:before="0" w:after="0" w:line="240" w:lineRule="auto"/>
              <w:jc w:val="center"/>
            </w:pPr>
            <w:r/>
            <w:r>
              <w:rPr>
                <w:rFonts w:ascii="Times New Roman" w:hAnsi="Times New Roman" w:eastAsia="宋体"/>
                <w:b w:val="0"/>
                <w:sz w:val="18"/>
              </w:rPr>
              <w:t>特殊作业安全管理</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GB/T 45001—2020</w:t>
            </w:r>
          </w:p>
        </w:tc>
        <w:tc>
          <w:tcPr>
            <w:tcW w:type="dxa" w:w="3402"/>
            <w:vAlign w:val="center"/>
          </w:tcPr>
          <w:p>
            <w:pPr>
              <w:spacing w:before="0" w:after="0" w:line="240" w:lineRule="auto"/>
              <w:jc w:val="center"/>
            </w:pPr>
            <w:r/>
            <w:r>
              <w:rPr>
                <w:rFonts w:ascii="Times New Roman" w:hAnsi="Times New Roman" w:eastAsia="宋体"/>
                <w:b w:val="0"/>
                <w:sz w:val="18"/>
              </w:rPr>
              <w:t>职业健康安全管理体系 要求及使用指南</w:t>
            </w:r>
          </w:p>
        </w:tc>
        <w:tc>
          <w:tcPr>
            <w:tcW w:type="dxa" w:w="3629"/>
            <w:vAlign w:val="center"/>
          </w:tcPr>
          <w:p>
            <w:pPr>
              <w:spacing w:before="0" w:after="0" w:line="240" w:lineRule="auto"/>
              <w:jc w:val="center"/>
            </w:pPr>
            <w:r/>
            <w:r>
              <w:rPr>
                <w:rFonts w:ascii="Times New Roman" w:hAnsi="Times New Roman" w:eastAsia="宋体"/>
                <w:b w:val="0"/>
                <w:sz w:val="18"/>
              </w:rPr>
              <w:t>职业健康安全管理</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GB/T 24001—2016</w:t>
            </w:r>
          </w:p>
        </w:tc>
        <w:tc>
          <w:tcPr>
            <w:tcW w:type="dxa" w:w="3402"/>
            <w:vAlign w:val="center"/>
          </w:tcPr>
          <w:p>
            <w:pPr>
              <w:spacing w:before="0" w:after="0" w:line="240" w:lineRule="auto"/>
              <w:jc w:val="center"/>
            </w:pPr>
            <w:r/>
            <w:r>
              <w:rPr>
                <w:rFonts w:ascii="Times New Roman" w:hAnsi="Times New Roman" w:eastAsia="宋体"/>
                <w:b w:val="0"/>
                <w:sz w:val="18"/>
              </w:rPr>
              <w:t>环境管理体系 要求及使用指南</w:t>
            </w:r>
          </w:p>
        </w:tc>
        <w:tc>
          <w:tcPr>
            <w:tcW w:type="dxa" w:w="3629"/>
            <w:vAlign w:val="center"/>
          </w:tcPr>
          <w:p>
            <w:pPr>
              <w:spacing w:before="0" w:after="0" w:line="240" w:lineRule="auto"/>
              <w:jc w:val="center"/>
            </w:pPr>
            <w:r/>
            <w:r>
              <w:rPr>
                <w:rFonts w:ascii="Times New Roman" w:hAnsi="Times New Roman" w:eastAsia="宋体"/>
                <w:b w:val="0"/>
                <w:sz w:val="18"/>
              </w:rPr>
              <w:t>环境管理</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GBZ 1—2010</w:t>
            </w:r>
          </w:p>
        </w:tc>
        <w:tc>
          <w:tcPr>
            <w:tcW w:type="dxa" w:w="3402"/>
            <w:vAlign w:val="center"/>
          </w:tcPr>
          <w:p>
            <w:pPr>
              <w:spacing w:before="0" w:after="0" w:line="240" w:lineRule="auto"/>
              <w:jc w:val="center"/>
            </w:pPr>
            <w:r/>
            <w:r>
              <w:rPr>
                <w:rFonts w:ascii="Times New Roman" w:hAnsi="Times New Roman" w:eastAsia="宋体"/>
                <w:b w:val="0"/>
                <w:sz w:val="18"/>
              </w:rPr>
              <w:t>工业企业设计卫生标准</w:t>
            </w:r>
          </w:p>
        </w:tc>
        <w:tc>
          <w:tcPr>
            <w:tcW w:type="dxa" w:w="3629"/>
            <w:vAlign w:val="center"/>
          </w:tcPr>
          <w:p>
            <w:pPr>
              <w:spacing w:before="0" w:after="0" w:line="240" w:lineRule="auto"/>
              <w:jc w:val="center"/>
            </w:pPr>
            <w:r/>
            <w:r>
              <w:rPr>
                <w:rFonts w:ascii="Times New Roman" w:hAnsi="Times New Roman" w:eastAsia="宋体"/>
                <w:b w:val="0"/>
                <w:sz w:val="18"/>
              </w:rPr>
              <w:t>职业卫生设计</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GBZ 2.1—2019及第1号修改单</w:t>
            </w:r>
          </w:p>
        </w:tc>
        <w:tc>
          <w:tcPr>
            <w:tcW w:type="dxa" w:w="3402"/>
            <w:vAlign w:val="center"/>
          </w:tcPr>
          <w:p>
            <w:pPr>
              <w:spacing w:before="0" w:after="0" w:line="240" w:lineRule="auto"/>
              <w:jc w:val="center"/>
            </w:pPr>
            <w:r/>
            <w:r>
              <w:rPr>
                <w:rFonts w:ascii="Times New Roman" w:hAnsi="Times New Roman" w:eastAsia="宋体"/>
                <w:b w:val="0"/>
                <w:sz w:val="18"/>
              </w:rPr>
              <w:t>工作场所有害因素职业接触限值 第1部分：化学有害因素</w:t>
            </w:r>
          </w:p>
        </w:tc>
        <w:tc>
          <w:tcPr>
            <w:tcW w:type="dxa" w:w="3629"/>
            <w:vAlign w:val="center"/>
          </w:tcPr>
          <w:p>
            <w:pPr>
              <w:spacing w:before="0" w:after="0" w:line="240" w:lineRule="auto"/>
              <w:jc w:val="center"/>
            </w:pPr>
            <w:r/>
            <w:r>
              <w:rPr>
                <w:rFonts w:ascii="Times New Roman" w:hAnsi="Times New Roman" w:eastAsia="宋体"/>
                <w:b w:val="0"/>
                <w:sz w:val="18"/>
              </w:rPr>
              <w:t>汽油蒸气及苯职业接触控制</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GBZ 2.2—2007</w:t>
            </w:r>
          </w:p>
        </w:tc>
        <w:tc>
          <w:tcPr>
            <w:tcW w:type="dxa" w:w="3402"/>
            <w:vAlign w:val="center"/>
          </w:tcPr>
          <w:p>
            <w:pPr>
              <w:spacing w:before="0" w:after="0" w:line="240" w:lineRule="auto"/>
              <w:jc w:val="center"/>
            </w:pPr>
            <w:r/>
            <w:r>
              <w:rPr>
                <w:rFonts w:ascii="Times New Roman" w:hAnsi="Times New Roman" w:eastAsia="宋体"/>
                <w:b w:val="0"/>
                <w:sz w:val="18"/>
              </w:rPr>
              <w:t>工作场所有害因素职业接触限值 第2部分：物理因素</w:t>
            </w:r>
          </w:p>
        </w:tc>
        <w:tc>
          <w:tcPr>
            <w:tcW w:type="dxa" w:w="3629"/>
            <w:vAlign w:val="center"/>
          </w:tcPr>
          <w:p>
            <w:pPr>
              <w:spacing w:before="0" w:after="0" w:line="240" w:lineRule="auto"/>
              <w:jc w:val="center"/>
            </w:pPr>
            <w:r/>
            <w:r>
              <w:rPr>
                <w:rFonts w:ascii="Times New Roman" w:hAnsi="Times New Roman" w:eastAsia="宋体"/>
                <w:b w:val="0"/>
                <w:sz w:val="18"/>
              </w:rPr>
              <w:t>噪声控制</w:t>
            </w:r>
          </w:p>
        </w:tc>
      </w:tr>
      <w:tr>
        <w:trPr>
          <w:cantSplit w:val="1"/>
        </w:trPr>
        <w:tc>
          <w:tcPr>
            <w:tcW w:type="dxa" w:w="1871"/>
            <w:vAlign w:val="center"/>
          </w:tcPr>
          <w:p>
            <w:pPr>
              <w:spacing w:before="0" w:after="0" w:line="240" w:lineRule="auto"/>
              <w:jc w:val="center"/>
            </w:pPr>
            <w:r/>
            <w:r>
              <w:rPr>
                <w:rFonts w:ascii="Times New Roman" w:hAnsi="Times New Roman" w:eastAsia="宋体"/>
                <w:b w:val="0"/>
                <w:sz w:val="18"/>
              </w:rPr>
              <w:t>GB 20950—2020</w:t>
            </w:r>
          </w:p>
        </w:tc>
        <w:tc>
          <w:tcPr>
            <w:tcW w:type="dxa" w:w="3402"/>
            <w:vAlign w:val="center"/>
          </w:tcPr>
          <w:p>
            <w:pPr>
              <w:spacing w:before="0" w:after="0" w:line="240" w:lineRule="auto"/>
              <w:jc w:val="center"/>
            </w:pPr>
            <w:r/>
            <w:r>
              <w:rPr>
                <w:rFonts w:ascii="Times New Roman" w:hAnsi="Times New Roman" w:eastAsia="宋体"/>
                <w:b w:val="0"/>
                <w:sz w:val="18"/>
              </w:rPr>
              <w:t>储油库大气污染物排放标准</w:t>
            </w:r>
          </w:p>
        </w:tc>
        <w:tc>
          <w:tcPr>
            <w:tcW w:type="dxa" w:w="3629"/>
            <w:vAlign w:val="center"/>
          </w:tcPr>
          <w:p>
            <w:pPr>
              <w:spacing w:before="0" w:after="0" w:line="240" w:lineRule="auto"/>
              <w:jc w:val="center"/>
            </w:pPr>
            <w:r/>
            <w:r>
              <w:rPr>
                <w:rFonts w:ascii="Times New Roman" w:hAnsi="Times New Roman" w:eastAsia="宋体"/>
                <w:b w:val="0"/>
                <w:sz w:val="18"/>
              </w:rPr>
              <w:t>汽油储存、装车及油气回收</w:t>
            </w:r>
          </w:p>
        </w:tc>
      </w:tr>
    </w:tbl>
    <w:p>
      <w:pPr>
        <w:spacing w:before="0" w:after="0"/>
      </w:pPr>
    </w:p>
    <w:p>
      <w:pPr>
        <w:pStyle w:val="8"/>
        <w:keepNext/>
        <w:spacing w:before="60" w:after="60" w:line="360" w:lineRule="auto"/>
        <w:jc w:val="left"/>
      </w:pPr>
      <w:r>
        <w:rPr>
          <w:rFonts w:ascii="Times New Roman" w:hAnsi="Times New Roman" w:eastAsia="黑体"/>
          <w:b/>
          <w:sz w:val="30"/>
        </w:rPr>
        <w:t>7.1 防火堤设计</w:t>
      </w:r>
    </w:p>
    <w:p>
      <w:pPr>
        <w:pStyle w:val="9"/>
        <w:keepNext/>
        <w:spacing w:before="60" w:after="60" w:line="360" w:lineRule="auto"/>
        <w:ind w:firstLine="480"/>
        <w:jc w:val="left"/>
      </w:pPr>
      <w:r>
        <w:rPr>
          <w:rFonts w:ascii="Times New Roman" w:hAnsi="Times New Roman" w:eastAsia="黑体"/>
          <w:b/>
          <w:sz w:val="28"/>
        </w:rPr>
        <w:t>7.1.1 堤容积计算</w:t>
      </w:r>
    </w:p>
    <w:p>
      <w:pPr>
        <w:keepNext w:val="0"/>
        <w:keepLines/>
        <w:spacing w:line="360" w:lineRule="auto" w:before="0" w:after="0"/>
        <w:ind w:firstLine="480"/>
        <w:jc w:val="both"/>
      </w:pPr>
      <w:r>
        <w:rPr>
          <w:rFonts w:ascii="Times New Roman" w:hAnsi="Times New Roman" w:eastAsia="宋体"/>
          <w:sz w:val="24"/>
        </w:rPr>
        <w:t>根据GB 50074—2014第6.5.1条，地上储罐组设置防火堤，防火堤有效容量不小于罐组内一个最大储罐的公称容量。本设计按油品品种设置92号汽油、95号汽油和0号柴油3个独立罐组，各罐组最大单罐公称容量均为5000 m³，故防火堤有效容量控制值均为5000 m³。防火堤计算高度取1.30 m，实高取1.50 m，实高比计算高度增加0.20 m，满足GB 50074—2014第6.5.3条。</w:t>
      </w:r>
    </w:p>
    <w:p>
      <w:pPr>
        <w:keepNext w:val="0"/>
        <w:keepLines/>
        <w:spacing w:line="360" w:lineRule="auto" w:before="0" w:after="0"/>
        <w:ind w:firstLine="480"/>
        <w:jc w:val="both"/>
      </w:pPr>
      <w:r>
        <w:rPr>
          <w:rFonts w:ascii="Times New Roman" w:hAnsi="Times New Roman" w:eastAsia="宋体"/>
          <w:sz w:val="24"/>
        </w:rPr>
        <w:t>单座储罐在防火堤计算液位以下的占地面积按式（7-1）计算：</w:t>
      </w:r>
    </w:p>
    <w:p>
      <w:pPr>
        <w:tabs>
          <w:tab w:pos="4450" w:val="center"/>
          <w:tab w:pos="8901" w:val="right"/>
        </w:tabs>
        <w:spacing w:before="40" w:after="40" w:line="276" w:lineRule="auto"/>
        <w:ind w:firstLine="0"/>
      </w:pPr>
      <w:r>
        <w:tab/>
      </w:r>
      <m:oMath>
        <m:sSub>
          <m:e>
            <m:r>
              <m:t>A</m:t>
            </m:r>
          </m:e>
          <m:sub>
            <m:r>
              <m:t>t</m:t>
            </m:r>
          </m:sub>
        </m:sSub>
        <m:r>
          <m:t>=</m:t>
        </m:r>
        <m:f>
          <m:fPr>
            <m:type m:val="bar"/>
          </m:fPr>
          <m:num>
            <m:r>
              <m:t>π</m:t>
            </m:r>
            <m:sSup>
              <m:e>
                <m:r>
                  <m:t>D</m:t>
                </m:r>
              </m:e>
              <m:sup>
                <m:r>
                  <m:t>2</m:t>
                </m:r>
              </m:sup>
            </m:sSup>
          </m:num>
          <m:den>
            <m:r>
              <m:t>4</m:t>
            </m:r>
          </m:den>
        </m:f>
      </m:oMath>
      <w:r>
        <w:rPr>
          <w:rFonts w:ascii="Times New Roman" w:hAnsi="Times New Roman" w:eastAsia="宋体"/>
          <w:sz w:val="21"/>
        </w:rPr>
        <w:tab/>
        <w:t>(7-1)</w:t>
      </w:r>
    </w:p>
    <w:p>
      <w:pPr>
        <w:keepNext w:val="0"/>
        <w:keepLines/>
        <w:spacing w:line="360" w:lineRule="auto" w:before="0" w:after="0"/>
        <w:ind w:firstLine="480"/>
        <w:jc w:val="both"/>
      </w:pPr>
      <w:r>
        <w:rPr>
          <w:rFonts w:ascii="Times New Roman" w:hAnsi="Times New Roman" w:eastAsia="宋体"/>
          <w:sz w:val="24"/>
        </w:rPr>
        <w:t>式中：At为单座储罐占地面积，m²；D为储罐内径，取24.0 m。代入得At＝π×24.0²/4＝452.39 m²。防火堤有效容量按式（7-2）计算：</w:t>
      </w:r>
    </w:p>
    <w:p>
      <w:pPr>
        <w:tabs>
          <w:tab w:pos="4450" w:val="center"/>
          <w:tab w:pos="8901" w:val="right"/>
        </w:tabs>
        <w:spacing w:before="40" w:after="40" w:line="276" w:lineRule="auto"/>
        <w:ind w:firstLine="0"/>
      </w:pPr>
      <w:r>
        <w:tab/>
      </w:r>
      <m:oMath>
        <m:sSub>
          <m:e>
            <m:r>
              <m:t>V</m:t>
            </m:r>
          </m:e>
          <m:sub>
            <m:r>
              <m:t>e</m:t>
            </m:r>
          </m:sub>
        </m:sSub>
        <m:r>
          <m:t>=(A−n</m:t>
        </m:r>
        <m:sSub>
          <m:e>
            <m:r>
              <m:t>A</m:t>
            </m:r>
          </m:e>
          <m:sub>
            <m:r>
              <m:t>t</m:t>
            </m:r>
          </m:sub>
        </m:sSub>
        <m:r>
          <m:t>)</m:t>
        </m:r>
        <m:sSub>
          <m:e>
            <m:r>
              <m:t>h</m:t>
            </m:r>
          </m:e>
          <m:sub>
            <m:r>
              <m:t>c</m:t>
            </m:r>
          </m:sub>
        </m:sSub>
      </m:oMath>
      <w:r>
        <w:rPr>
          <w:rFonts w:ascii="Times New Roman" w:hAnsi="Times New Roman" w:eastAsia="宋体"/>
          <w:sz w:val="21"/>
        </w:rPr>
        <w:tab/>
        <w:t>(7-2)</w:t>
      </w:r>
    </w:p>
    <w:p>
      <w:pPr>
        <w:keepNext w:val="0"/>
        <w:keepLines/>
        <w:spacing w:line="360" w:lineRule="auto" w:before="0" w:after="0"/>
        <w:ind w:firstLine="480"/>
        <w:jc w:val="both"/>
      </w:pPr>
      <w:r>
        <w:rPr>
          <w:rFonts w:ascii="Times New Roman" w:hAnsi="Times New Roman" w:eastAsia="宋体"/>
          <w:sz w:val="24"/>
        </w:rPr>
        <w:t>式中：Ve为防火堤有效容量，m³；A为防火堤内侧地坪面积，m²；n为罐组内储罐数量；hc为防火堤计算高度，取1.30 m。</w:t>
      </w:r>
    </w:p>
    <w:p>
      <w:pPr>
        <w:keepNext w:val="0"/>
        <w:keepLines/>
        <w:spacing w:line="360" w:lineRule="auto" w:before="0" w:after="0"/>
        <w:ind w:firstLine="480"/>
        <w:jc w:val="both"/>
      </w:pPr>
      <w:r>
        <w:rPr>
          <w:rFonts w:ascii="Times New Roman" w:hAnsi="Times New Roman" w:eastAsia="宋体"/>
          <w:sz w:val="24"/>
        </w:rPr>
        <w:t>（1）92号汽油罐组。3座储罐采用118 m×48 m矩形防火堤，内侧面积A＝5664 m²，其有效容量为：</w:t>
      </w:r>
    </w:p>
    <w:p>
      <w:pPr>
        <w:tabs>
          <w:tab w:pos="4450" w:val="center"/>
          <w:tab w:pos="8901" w:val="right"/>
        </w:tabs>
        <w:spacing w:before="40" w:after="40" w:line="276" w:lineRule="auto"/>
        <w:ind w:firstLine="0"/>
      </w:pPr>
      <w:r>
        <w:tab/>
      </w:r>
      <m:oMath>
        <m:sSub>
          <m:e>
            <m:r>
              <m:t>V</m:t>
            </m:r>
          </m:e>
          <m:sub>
            <m:r>
              <m:t>e,92</m:t>
            </m:r>
          </m:sub>
        </m:sSub>
        <m:r>
          <m:t>=</m:t>
        </m:r>
        <m:d>
          <m:dPr>
            <m:begChr m:val="["/>
            <m:sepChr m:val=""/>
            <m:endChr m:val="]"/>
          </m:dPr>
          <m:e>
            <m:r>
              <m:t>118</m:t>
            </m:r>
            <m:r>
              <m:t>×</m:t>
            </m:r>
            <m:r>
              <m:t>48</m:t>
            </m:r>
            <m:r>
              <m:t>−</m:t>
            </m:r>
            <m:r>
              <m:t>3</m:t>
            </m:r>
            <m:r>
              <m:t>×</m:t>
            </m:r>
            <m:d>
              <m:dPr>
                <m:sepChr m:val=""/>
              </m:dPr>
              <m:e>
                <m:f>
                  <m:fPr>
                    <m:type m:val="bar"/>
                  </m:fPr>
                  <m:num>
                    <m:r>
                      <m:t>π×</m:t>
                    </m:r>
                    <m:sSup>
                      <m:e>
                        <m:r>
                          <m:t>24</m:t>
                        </m:r>
                      </m:e>
                      <m:sup>
                        <m:r>
                          <m:t>2</m:t>
                        </m:r>
                      </m:sup>
                    </m:sSup>
                  </m:num>
                  <m:den>
                    <m:r>
                      <m:t>4</m:t>
                    </m:r>
                  </m:den>
                </m:f>
              </m:e>
            </m:d>
          </m:e>
        </m:d>
        <m:r>
          <m:t>×1.30=5598.88</m:t>
        </m:r>
        <m:r>
          <m:rPr>
            <m:sty m:val="p"/>
          </m:rPr>
          <m:t> </m:t>
        </m:r>
        <m:sSup>
          <m:e>
            <m:r>
              <m:rPr>
                <m:sty m:val="p"/>
              </m:rPr>
              <m:t>m</m:t>
            </m:r>
          </m:e>
          <m:sup>
            <m:r>
              <m:t>3</m:t>
            </m:r>
          </m:sup>
        </m:sSup>
      </m:oMath>
      <w:r>
        <w:rPr>
          <w:rFonts w:ascii="Times New Roman" w:hAnsi="Times New Roman" w:eastAsia="宋体"/>
          <w:sz w:val="21"/>
        </w:rPr>
        <w:tab/>
        <w:t>(7-3)</w:t>
      </w:r>
    </w:p>
    <w:p>
      <w:pPr>
        <w:keepNext w:val="0"/>
        <w:keepLines/>
        <w:spacing w:line="360" w:lineRule="auto" w:before="0" w:after="0"/>
        <w:ind w:firstLine="480"/>
        <w:jc w:val="both"/>
      </w:pPr>
      <w:r>
        <w:rPr>
          <w:rFonts w:ascii="Times New Roman" w:hAnsi="Times New Roman" w:eastAsia="宋体"/>
          <w:sz w:val="24"/>
        </w:rPr>
        <w:t>（2）95号汽油罐组和0号柴油罐组。两罐组均设2座同规格储罐，分别采用82 m×58 m矩形防火堤，其有效容量为：</w:t>
      </w:r>
    </w:p>
    <w:p>
      <w:pPr>
        <w:tabs>
          <w:tab w:pos="4450" w:val="center"/>
          <w:tab w:pos="8901" w:val="right"/>
        </w:tabs>
        <w:spacing w:before="40" w:after="40" w:line="276" w:lineRule="auto"/>
        <w:ind w:firstLine="0"/>
      </w:pPr>
      <w:r>
        <w:tab/>
      </w:r>
      <m:oMath>
        <m:sSub>
          <m:e>
            <m:r>
              <m:t>V</m:t>
            </m:r>
          </m:e>
          <m:sub>
            <m:r>
              <m:t>e,95</m:t>
            </m:r>
          </m:sub>
        </m:sSub>
        <m:r>
          <m:t>=</m:t>
        </m:r>
        <m:sSub>
          <m:e>
            <m:r>
              <m:t>V</m:t>
            </m:r>
          </m:e>
          <m:sub>
            <m:r>
              <m:t>e,D</m:t>
            </m:r>
          </m:sub>
        </m:sSub>
        <m:r>
          <m:t>=</m:t>
        </m:r>
        <m:d>
          <m:dPr>
            <m:begChr m:val="["/>
            <m:sepChr m:val=""/>
            <m:endChr m:val="]"/>
          </m:dPr>
          <m:e>
            <m:r>
              <m:t>82</m:t>
            </m:r>
            <m:r>
              <m:t>×</m:t>
            </m:r>
            <m:r>
              <m:t>58</m:t>
            </m:r>
            <m:r>
              <m:t>−</m:t>
            </m:r>
            <m:r>
              <m:t>2</m:t>
            </m:r>
            <m:r>
              <m:t>×</m:t>
            </m:r>
            <m:d>
              <m:dPr>
                <m:sepChr m:val=""/>
              </m:dPr>
              <m:e>
                <m:f>
                  <m:fPr>
                    <m:type m:val="bar"/>
                  </m:fPr>
                  <m:num>
                    <m:r>
                      <m:t>π×</m:t>
                    </m:r>
                    <m:sSup>
                      <m:e>
                        <m:r>
                          <m:t>24</m:t>
                        </m:r>
                      </m:e>
                      <m:sup>
                        <m:r>
                          <m:t>2</m:t>
                        </m:r>
                      </m:sup>
                    </m:sSup>
                  </m:num>
                  <m:den>
                    <m:r>
                      <m:t>4</m:t>
                    </m:r>
                  </m:den>
                </m:f>
              </m:e>
            </m:d>
          </m:e>
        </m:d>
        <m:r>
          <m:t>×1.30=5006.59</m:t>
        </m:r>
        <m:r>
          <m:rPr>
            <m:sty m:val="p"/>
          </m:rPr>
          <m:t> </m:t>
        </m:r>
        <m:sSup>
          <m:e>
            <m:r>
              <m:rPr>
                <m:sty m:val="p"/>
              </m:rPr>
              <m:t>m</m:t>
            </m:r>
          </m:e>
          <m:sup>
            <m:r>
              <m:t>3</m:t>
            </m:r>
          </m:sup>
        </m:sSup>
      </m:oMath>
      <w:r>
        <w:rPr>
          <w:rFonts w:ascii="Times New Roman" w:hAnsi="Times New Roman" w:eastAsia="宋体"/>
          <w:sz w:val="21"/>
        </w:rPr>
        <w:tab/>
        <w:t>(7-4)</w:t>
      </w:r>
    </w:p>
    <w:p>
      <w:pPr>
        <w:pStyle w:val="6"/>
        <w:keepNext/>
        <w:pageBreakBefore w:val="0"/>
        <w:spacing w:before="120" w:after="60"/>
        <w:jc w:val="center"/>
      </w:pPr>
      <w:r>
        <w:rPr>
          <w:rFonts w:ascii="Times New Roman" w:hAnsi="Times New Roman" w:eastAsia="宋体"/>
          <w:b/>
          <w:sz w:val="22"/>
        </w:rPr>
        <w:t>表7-2 防火堤有效容量校核</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361"/>
        <w:gridCol w:w="1531"/>
        <w:gridCol w:w="1418"/>
        <w:gridCol w:w="1588"/>
        <w:gridCol w:w="1588"/>
        <w:gridCol w:w="1418"/>
      </w:tblGrid>
      <w:tr>
        <w:trPr>
          <w:tblHeader w:val="true"/>
        </w:trPr>
        <w:tc>
          <w:tcPr>
            <w:tcW w:type="dxa" w:w="1361"/>
            <w:vAlign w:val="center"/>
          </w:tcPr>
          <w:p>
            <w:pPr>
              <w:keepNext/>
              <w:spacing w:before="0" w:after="0" w:line="252" w:lineRule="auto"/>
              <w:jc w:val="center"/>
            </w:pPr>
            <w:r/>
            <w:r>
              <w:rPr>
                <w:rFonts w:ascii="Times New Roman" w:hAnsi="Times New Roman" w:eastAsia="宋体"/>
                <w:b/>
                <w:sz w:val="18"/>
              </w:rPr>
              <w:t>罐组</w:t>
            </w:r>
          </w:p>
        </w:tc>
        <w:tc>
          <w:tcPr>
            <w:tcW w:type="dxa" w:w="1531"/>
            <w:vAlign w:val="center"/>
          </w:tcPr>
          <w:p>
            <w:pPr>
              <w:keepNext/>
              <w:spacing w:before="0" w:after="0" w:line="252" w:lineRule="auto"/>
              <w:jc w:val="center"/>
            </w:pPr>
            <w:r/>
            <w:r>
              <w:rPr>
                <w:rFonts w:ascii="Times New Roman" w:hAnsi="Times New Roman" w:eastAsia="宋体"/>
                <w:b/>
                <w:sz w:val="18"/>
              </w:rPr>
              <w:t>储罐配置</w:t>
            </w:r>
          </w:p>
        </w:tc>
        <w:tc>
          <w:tcPr>
            <w:tcW w:type="dxa" w:w="1418"/>
            <w:vAlign w:val="center"/>
          </w:tcPr>
          <w:p>
            <w:pPr>
              <w:keepNext/>
              <w:spacing w:before="0" w:after="0" w:line="252" w:lineRule="auto"/>
              <w:jc w:val="center"/>
            </w:pPr>
            <w:r/>
            <w:r>
              <w:rPr>
                <w:rFonts w:ascii="Times New Roman" w:hAnsi="Times New Roman" w:eastAsia="宋体"/>
                <w:b/>
                <w:sz w:val="18"/>
              </w:rPr>
              <w:t>内侧尺寸/m</w:t>
            </w:r>
          </w:p>
        </w:tc>
        <w:tc>
          <w:tcPr>
            <w:tcW w:type="dxa" w:w="1588"/>
            <w:vAlign w:val="center"/>
          </w:tcPr>
          <w:p>
            <w:pPr>
              <w:keepNext/>
              <w:spacing w:before="0" w:after="0" w:line="252" w:lineRule="auto"/>
              <w:jc w:val="center"/>
            </w:pPr>
            <w:r/>
            <w:r>
              <w:rPr>
                <w:rFonts w:ascii="Times New Roman" w:hAnsi="Times New Roman" w:eastAsia="宋体"/>
                <w:b/>
                <w:sz w:val="18"/>
              </w:rPr>
              <w:t>有效容量/m³</w:t>
            </w:r>
          </w:p>
        </w:tc>
        <w:tc>
          <w:tcPr>
            <w:tcW w:type="dxa" w:w="1588"/>
            <w:vAlign w:val="center"/>
          </w:tcPr>
          <w:p>
            <w:pPr>
              <w:keepNext/>
              <w:spacing w:before="0" w:after="0" w:line="252" w:lineRule="auto"/>
              <w:jc w:val="center"/>
            </w:pPr>
            <w:r/>
            <w:r>
              <w:rPr>
                <w:rFonts w:ascii="Times New Roman" w:hAnsi="Times New Roman" w:eastAsia="宋体"/>
                <w:b/>
                <w:sz w:val="18"/>
              </w:rPr>
              <w:t>规范要求/m³</w:t>
            </w:r>
          </w:p>
        </w:tc>
        <w:tc>
          <w:tcPr>
            <w:tcW w:type="dxa" w:w="1418"/>
            <w:vAlign w:val="center"/>
          </w:tcPr>
          <w:p>
            <w:pPr>
              <w:keepNext/>
              <w:spacing w:before="0" w:after="0" w:line="252" w:lineRule="auto"/>
              <w:jc w:val="center"/>
            </w:pPr>
            <w:r/>
            <w:r>
              <w:rPr>
                <w:rFonts w:ascii="Times New Roman" w:hAnsi="Times New Roman" w:eastAsia="宋体"/>
                <w:b/>
                <w:sz w:val="18"/>
              </w:rPr>
              <w:t>校核</w:t>
            </w:r>
          </w:p>
        </w:tc>
      </w:tr>
      <w:tr>
        <w:trPr>
          <w:cantSplit w:val="1"/>
        </w:trPr>
        <w:tc>
          <w:tcPr>
            <w:tcW w:type="dxa" w:w="1361"/>
            <w:vAlign w:val="center"/>
          </w:tcPr>
          <w:p>
            <w:pPr>
              <w:spacing w:before="0" w:after="0" w:line="252" w:lineRule="auto"/>
              <w:jc w:val="center"/>
            </w:pPr>
            <w:r/>
            <w:r>
              <w:rPr>
                <w:rFonts w:ascii="Times New Roman" w:hAnsi="Times New Roman" w:eastAsia="宋体"/>
                <w:b w:val="0"/>
                <w:sz w:val="18"/>
              </w:rPr>
              <w:t>92号汽油</w:t>
            </w:r>
          </w:p>
        </w:tc>
        <w:tc>
          <w:tcPr>
            <w:tcW w:type="dxa" w:w="1531"/>
            <w:vAlign w:val="center"/>
          </w:tcPr>
          <w:p>
            <w:pPr>
              <w:spacing w:before="0" w:after="0" w:line="252" w:lineRule="auto"/>
              <w:jc w:val="center"/>
            </w:pPr>
            <w:r/>
            <w:r>
              <w:rPr>
                <w:rFonts w:ascii="Times New Roman" w:hAnsi="Times New Roman" w:eastAsia="宋体"/>
                <w:b w:val="0"/>
                <w:sz w:val="18"/>
              </w:rPr>
              <w:t>3×5000 m³</w:t>
            </w:r>
          </w:p>
        </w:tc>
        <w:tc>
          <w:tcPr>
            <w:tcW w:type="dxa" w:w="1418"/>
            <w:vAlign w:val="center"/>
          </w:tcPr>
          <w:p>
            <w:pPr>
              <w:spacing w:before="0" w:after="0" w:line="252" w:lineRule="auto"/>
              <w:jc w:val="center"/>
            </w:pPr>
            <w:r/>
            <w:r>
              <w:rPr>
                <w:rFonts w:ascii="Times New Roman" w:hAnsi="Times New Roman" w:eastAsia="宋体"/>
                <w:b w:val="0"/>
                <w:sz w:val="18"/>
              </w:rPr>
              <w:t>118×48</w:t>
            </w:r>
          </w:p>
        </w:tc>
        <w:tc>
          <w:tcPr>
            <w:tcW w:type="dxa" w:w="1588"/>
            <w:vAlign w:val="center"/>
          </w:tcPr>
          <w:p>
            <w:pPr>
              <w:spacing w:before="0" w:after="0" w:line="252" w:lineRule="auto"/>
              <w:jc w:val="center"/>
            </w:pPr>
            <w:r/>
            <w:r>
              <w:rPr>
                <w:rFonts w:ascii="Times New Roman" w:hAnsi="Times New Roman" w:eastAsia="宋体"/>
                <w:b w:val="0"/>
                <w:sz w:val="18"/>
              </w:rPr>
              <w:t>5598.88</w:t>
            </w:r>
          </w:p>
        </w:tc>
        <w:tc>
          <w:tcPr>
            <w:tcW w:type="dxa" w:w="1588"/>
            <w:vAlign w:val="center"/>
          </w:tcPr>
          <w:p>
            <w:pPr>
              <w:spacing w:before="0" w:after="0" w:line="252" w:lineRule="auto"/>
              <w:jc w:val="center"/>
            </w:pPr>
            <w:r/>
            <w:r>
              <w:rPr>
                <w:rFonts w:ascii="Times New Roman" w:hAnsi="Times New Roman" w:eastAsia="宋体"/>
                <w:b w:val="0"/>
                <w:sz w:val="18"/>
              </w:rPr>
              <w:t>≥5000</w:t>
            </w:r>
          </w:p>
        </w:tc>
        <w:tc>
          <w:tcPr>
            <w:tcW w:type="dxa" w:w="1418"/>
            <w:vAlign w:val="center"/>
          </w:tcPr>
          <w:p>
            <w:pPr>
              <w:spacing w:before="0" w:after="0" w:line="252" w:lineRule="auto"/>
              <w:jc w:val="center"/>
            </w:pPr>
            <w:r/>
            <w:r>
              <w:rPr>
                <w:rFonts w:ascii="Times New Roman" w:hAnsi="Times New Roman" w:eastAsia="宋体"/>
                <w:b w:val="0"/>
                <w:sz w:val="18"/>
              </w:rPr>
              <w:t>满足</w:t>
            </w:r>
          </w:p>
        </w:tc>
      </w:tr>
      <w:tr>
        <w:trPr>
          <w:cantSplit w:val="1"/>
        </w:trPr>
        <w:tc>
          <w:tcPr>
            <w:tcW w:type="dxa" w:w="1361"/>
            <w:vAlign w:val="center"/>
          </w:tcPr>
          <w:p>
            <w:pPr>
              <w:spacing w:before="0" w:after="0" w:line="252" w:lineRule="auto"/>
              <w:jc w:val="center"/>
            </w:pPr>
            <w:r/>
            <w:r>
              <w:rPr>
                <w:rFonts w:ascii="Times New Roman" w:hAnsi="Times New Roman" w:eastAsia="宋体"/>
                <w:b w:val="0"/>
                <w:sz w:val="18"/>
              </w:rPr>
              <w:t>95号汽油</w:t>
            </w:r>
          </w:p>
        </w:tc>
        <w:tc>
          <w:tcPr>
            <w:tcW w:type="dxa" w:w="1531"/>
            <w:vAlign w:val="center"/>
          </w:tcPr>
          <w:p>
            <w:pPr>
              <w:spacing w:before="0" w:after="0" w:line="252" w:lineRule="auto"/>
              <w:jc w:val="center"/>
            </w:pPr>
            <w:r/>
            <w:r>
              <w:rPr>
                <w:rFonts w:ascii="Times New Roman" w:hAnsi="Times New Roman" w:eastAsia="宋体"/>
                <w:b w:val="0"/>
                <w:sz w:val="18"/>
              </w:rPr>
              <w:t>2×5000 m³</w:t>
            </w:r>
          </w:p>
        </w:tc>
        <w:tc>
          <w:tcPr>
            <w:tcW w:type="dxa" w:w="1418"/>
            <w:vAlign w:val="center"/>
          </w:tcPr>
          <w:p>
            <w:pPr>
              <w:spacing w:before="0" w:after="0" w:line="252" w:lineRule="auto"/>
              <w:jc w:val="center"/>
            </w:pPr>
            <w:r/>
            <w:r>
              <w:rPr>
                <w:rFonts w:ascii="Times New Roman" w:hAnsi="Times New Roman" w:eastAsia="宋体"/>
                <w:b w:val="0"/>
                <w:sz w:val="18"/>
              </w:rPr>
              <w:t>82×58</w:t>
            </w:r>
          </w:p>
        </w:tc>
        <w:tc>
          <w:tcPr>
            <w:tcW w:type="dxa" w:w="1588"/>
            <w:vAlign w:val="center"/>
          </w:tcPr>
          <w:p>
            <w:pPr>
              <w:spacing w:before="0" w:after="0" w:line="252" w:lineRule="auto"/>
              <w:jc w:val="center"/>
            </w:pPr>
            <w:r/>
            <w:r>
              <w:rPr>
                <w:rFonts w:ascii="Times New Roman" w:hAnsi="Times New Roman" w:eastAsia="宋体"/>
                <w:b w:val="0"/>
                <w:sz w:val="18"/>
              </w:rPr>
              <w:t>5006.59</w:t>
            </w:r>
          </w:p>
        </w:tc>
        <w:tc>
          <w:tcPr>
            <w:tcW w:type="dxa" w:w="1588"/>
            <w:vAlign w:val="center"/>
          </w:tcPr>
          <w:p>
            <w:pPr>
              <w:spacing w:before="0" w:after="0" w:line="252" w:lineRule="auto"/>
              <w:jc w:val="center"/>
            </w:pPr>
            <w:r/>
            <w:r>
              <w:rPr>
                <w:rFonts w:ascii="Times New Roman" w:hAnsi="Times New Roman" w:eastAsia="宋体"/>
                <w:b w:val="0"/>
                <w:sz w:val="18"/>
              </w:rPr>
              <w:t>≥5000</w:t>
            </w:r>
          </w:p>
        </w:tc>
        <w:tc>
          <w:tcPr>
            <w:tcW w:type="dxa" w:w="1418"/>
            <w:vAlign w:val="center"/>
          </w:tcPr>
          <w:p>
            <w:pPr>
              <w:spacing w:before="0" w:after="0" w:line="252" w:lineRule="auto"/>
              <w:jc w:val="center"/>
            </w:pPr>
            <w:r/>
            <w:r>
              <w:rPr>
                <w:rFonts w:ascii="Times New Roman" w:hAnsi="Times New Roman" w:eastAsia="宋体"/>
                <w:b w:val="0"/>
                <w:sz w:val="18"/>
              </w:rPr>
              <w:t>满足</w:t>
            </w:r>
          </w:p>
        </w:tc>
      </w:tr>
      <w:tr>
        <w:trPr>
          <w:cantSplit w:val="1"/>
        </w:trPr>
        <w:tc>
          <w:tcPr>
            <w:tcW w:type="dxa" w:w="1361"/>
            <w:vAlign w:val="center"/>
          </w:tcPr>
          <w:p>
            <w:pPr>
              <w:spacing w:before="0" w:after="0" w:line="252" w:lineRule="auto"/>
              <w:jc w:val="center"/>
            </w:pPr>
            <w:r/>
            <w:r>
              <w:rPr>
                <w:rFonts w:ascii="Times New Roman" w:hAnsi="Times New Roman" w:eastAsia="宋体"/>
                <w:b w:val="0"/>
                <w:sz w:val="18"/>
              </w:rPr>
              <w:t>0号柴油</w:t>
            </w:r>
          </w:p>
        </w:tc>
        <w:tc>
          <w:tcPr>
            <w:tcW w:type="dxa" w:w="1531"/>
            <w:vAlign w:val="center"/>
          </w:tcPr>
          <w:p>
            <w:pPr>
              <w:spacing w:before="0" w:after="0" w:line="252" w:lineRule="auto"/>
              <w:jc w:val="center"/>
            </w:pPr>
            <w:r/>
            <w:r>
              <w:rPr>
                <w:rFonts w:ascii="Times New Roman" w:hAnsi="Times New Roman" w:eastAsia="宋体"/>
                <w:b w:val="0"/>
                <w:sz w:val="18"/>
              </w:rPr>
              <w:t>2×5000 m³</w:t>
            </w:r>
          </w:p>
        </w:tc>
        <w:tc>
          <w:tcPr>
            <w:tcW w:type="dxa" w:w="1418"/>
            <w:vAlign w:val="center"/>
          </w:tcPr>
          <w:p>
            <w:pPr>
              <w:spacing w:before="0" w:after="0" w:line="252" w:lineRule="auto"/>
              <w:jc w:val="center"/>
            </w:pPr>
            <w:r/>
            <w:r>
              <w:rPr>
                <w:rFonts w:ascii="Times New Roman" w:hAnsi="Times New Roman" w:eastAsia="宋体"/>
                <w:b w:val="0"/>
                <w:sz w:val="18"/>
              </w:rPr>
              <w:t>82×58</w:t>
            </w:r>
          </w:p>
        </w:tc>
        <w:tc>
          <w:tcPr>
            <w:tcW w:type="dxa" w:w="1588"/>
            <w:vAlign w:val="center"/>
          </w:tcPr>
          <w:p>
            <w:pPr>
              <w:spacing w:before="0" w:after="0" w:line="252" w:lineRule="auto"/>
              <w:jc w:val="center"/>
            </w:pPr>
            <w:r/>
            <w:r>
              <w:rPr>
                <w:rFonts w:ascii="Times New Roman" w:hAnsi="Times New Roman" w:eastAsia="宋体"/>
                <w:b w:val="0"/>
                <w:sz w:val="18"/>
              </w:rPr>
              <w:t>5006.59</w:t>
            </w:r>
          </w:p>
        </w:tc>
        <w:tc>
          <w:tcPr>
            <w:tcW w:type="dxa" w:w="1588"/>
            <w:vAlign w:val="center"/>
          </w:tcPr>
          <w:p>
            <w:pPr>
              <w:spacing w:before="0" w:after="0" w:line="252" w:lineRule="auto"/>
              <w:jc w:val="center"/>
            </w:pPr>
            <w:r/>
            <w:r>
              <w:rPr>
                <w:rFonts w:ascii="Times New Roman" w:hAnsi="Times New Roman" w:eastAsia="宋体"/>
                <w:b w:val="0"/>
                <w:sz w:val="18"/>
              </w:rPr>
              <w:t>≥5000</w:t>
            </w:r>
          </w:p>
        </w:tc>
        <w:tc>
          <w:tcPr>
            <w:tcW w:type="dxa" w:w="1418"/>
            <w:vAlign w:val="center"/>
          </w:tcPr>
          <w:p>
            <w:pPr>
              <w:spacing w:before="0" w:after="0" w:line="252" w:lineRule="auto"/>
              <w:jc w:val="center"/>
            </w:pPr>
            <w:r/>
            <w:r>
              <w:rPr>
                <w:rFonts w:ascii="Times New Roman" w:hAnsi="Times New Roman" w:eastAsia="宋体"/>
                <w:b w:val="0"/>
                <w:sz w:val="18"/>
              </w:rPr>
              <w:t>满足</w:t>
            </w:r>
          </w:p>
        </w:tc>
      </w:tr>
    </w:tbl>
    <w:p>
      <w:pPr>
        <w:spacing w:before="0" w:after="0"/>
      </w:pPr>
    </w:p>
    <w:p>
      <w:pPr>
        <w:keepNext w:val="0"/>
        <w:keepLines/>
        <w:spacing w:line="360" w:lineRule="auto" w:before="0" w:after="0"/>
        <w:ind w:firstLine="480"/>
        <w:jc w:val="both"/>
      </w:pPr>
      <w:r>
        <w:rPr>
          <w:rFonts w:ascii="Times New Roman" w:hAnsi="Times New Roman" w:eastAsia="宋体"/>
          <w:sz w:val="24"/>
        </w:rPr>
        <w:t>各罐壁至防火堤内堤脚线的最小净距均不小于12.0 m，大于GB 50074—2014第6.5.2条规定的罐壁高度一半6.0 m。92号汽油罐组按3座储罐设置隔堤，每个隔堤区域内储罐数量符合GB 50074—2014第6.5.8条；95号汽油和0号柴油罐组分别设置2座储罐，不再分隔。</w:t>
      </w:r>
    </w:p>
    <w:p>
      <w:pPr>
        <w:pStyle w:val="9"/>
        <w:keepNext/>
        <w:spacing w:before="60" w:after="60" w:line="360" w:lineRule="auto"/>
        <w:ind w:firstLine="480"/>
        <w:jc w:val="left"/>
      </w:pPr>
      <w:r>
        <w:rPr>
          <w:rFonts w:ascii="Times New Roman" w:hAnsi="Times New Roman" w:eastAsia="黑体"/>
          <w:b/>
          <w:sz w:val="28"/>
        </w:rPr>
        <w:t>7.1.2 防火堤结构设计</w:t>
      </w:r>
    </w:p>
    <w:p>
      <w:pPr>
        <w:keepNext w:val="0"/>
        <w:keepLines/>
        <w:spacing w:line="360" w:lineRule="auto" w:before="0" w:after="0"/>
        <w:ind w:firstLine="480"/>
        <w:jc w:val="both"/>
      </w:pPr>
      <w:r>
        <w:rPr>
          <w:rFonts w:ascii="Times New Roman" w:hAnsi="Times New Roman" w:eastAsia="宋体"/>
          <w:sz w:val="24"/>
        </w:rPr>
        <w:t>按GB 50074—2014第6.5.4条采用黏性土填筑防火堤。防火堤实高1.50 m，堤顶宽度0.80 m，内、外边坡均为1∶1.5，基底宽度按式（7-5）计算：</w:t>
      </w:r>
    </w:p>
    <w:p>
      <w:pPr>
        <w:tabs>
          <w:tab w:pos="4450" w:val="center"/>
          <w:tab w:pos="8901" w:val="right"/>
        </w:tabs>
        <w:spacing w:before="40" w:after="40" w:line="276" w:lineRule="auto"/>
        <w:ind w:firstLine="0"/>
      </w:pPr>
      <w:r>
        <w:tab/>
      </w:r>
      <m:oMath>
        <m:r>
          <m:t>B=b+2mh=0.80+2×1.5×1.50=5.30</m:t>
        </m:r>
        <m:r>
          <m:rPr>
            <m:sty m:val="p"/>
          </m:rPr>
          <m:t> </m:t>
        </m:r>
        <m:r>
          <m:t>m</m:t>
        </m:r>
      </m:oMath>
      <w:r>
        <w:rPr>
          <w:rFonts w:ascii="Times New Roman" w:hAnsi="Times New Roman" w:eastAsia="宋体"/>
          <w:sz w:val="21"/>
        </w:rPr>
        <w:tab/>
        <w:t>(7-5)</w:t>
      </w:r>
    </w:p>
    <w:p>
      <w:pPr>
        <w:keepNext w:val="0"/>
        <w:keepLines/>
        <w:spacing w:line="360" w:lineRule="auto" w:before="0" w:after="0"/>
        <w:ind w:firstLine="480"/>
        <w:jc w:val="both"/>
      </w:pPr>
      <w:r>
        <w:rPr>
          <w:rFonts w:ascii="Times New Roman" w:hAnsi="Times New Roman" w:eastAsia="宋体"/>
          <w:sz w:val="24"/>
        </w:rPr>
        <w:t>式中：B为堤基宽度，m；b为堤顶宽度，取0.80 m；m为边坡系数，取1.5；h为防火堤实高，取1.50 m。堤体采用黏性土分层压实，迎液面设置连续耐油防渗层，并与罐区地坪防渗层连续搭接。</w:t>
      </w:r>
    </w:p>
    <w:p>
      <w:pPr>
        <w:keepNext w:val="0"/>
        <w:keepLines/>
        <w:spacing w:line="360" w:lineRule="auto" w:before="0" w:after="0"/>
        <w:ind w:firstLine="480"/>
        <w:jc w:val="both"/>
      </w:pPr>
      <w:r>
        <w:rPr>
          <w:rFonts w:ascii="Times New Roman" w:hAnsi="Times New Roman" w:eastAsia="宋体"/>
          <w:sz w:val="24"/>
        </w:rPr>
        <w:t>防火堤按密度较大的0号柴油进行静液压力校核，柴油密度取第3章确定的840 kg/m³。计算液位为1.30 m，堤脚最大液压力为：</w:t>
      </w:r>
    </w:p>
    <w:p>
      <w:pPr>
        <w:tabs>
          <w:tab w:pos="4450" w:val="center"/>
          <w:tab w:pos="8901" w:val="right"/>
        </w:tabs>
        <w:spacing w:before="40" w:after="40" w:line="276" w:lineRule="auto"/>
        <w:ind w:firstLine="0"/>
      </w:pPr>
      <w:r>
        <w:tab/>
      </w:r>
      <m:oMath>
        <m:sSub>
          <m:e>
            <m:r>
              <m:t>p</m:t>
            </m:r>
          </m:e>
          <m:sub>
            <m:r>
              <m:t>max</m:t>
            </m:r>
          </m:sub>
        </m:sSub>
        <m:r>
          <m:t>=ρg</m:t>
        </m:r>
        <m:sSub>
          <m:e>
            <m:r>
              <m:t>h</m:t>
            </m:r>
          </m:e>
          <m:sub>
            <m:r>
              <m:t>c</m:t>
            </m:r>
          </m:sub>
        </m:sSub>
        <m:r>
          <m:t>=840×9.81×1.30=10.71</m:t>
        </m:r>
        <m:r>
          <m:rPr>
            <m:sty m:val="p"/>
          </m:rPr>
          <m:t> </m:t>
        </m:r>
        <m:r>
          <m:rPr>
            <m:sty m:val="p"/>
          </m:rPr>
          <m:t>kPa</m:t>
        </m:r>
      </m:oMath>
      <w:r>
        <w:rPr>
          <w:rFonts w:ascii="Times New Roman" w:hAnsi="Times New Roman" w:eastAsia="宋体"/>
          <w:sz w:val="21"/>
        </w:rPr>
        <w:tab/>
        <w:t>(7-6)</w:t>
      </w:r>
    </w:p>
    <w:p>
      <w:pPr>
        <w:keepNext w:val="0"/>
        <w:keepLines/>
        <w:spacing w:line="360" w:lineRule="auto" w:before="0" w:after="0"/>
        <w:ind w:firstLine="480"/>
        <w:jc w:val="both"/>
      </w:pPr>
      <w:r>
        <w:rPr>
          <w:rFonts w:ascii="Times New Roman" w:hAnsi="Times New Roman" w:eastAsia="宋体"/>
          <w:sz w:val="24"/>
        </w:rPr>
        <w:t>每延米防火堤承受的水平合力为：</w:t>
      </w:r>
    </w:p>
    <w:p>
      <w:pPr>
        <w:tabs>
          <w:tab w:pos="4450" w:val="center"/>
          <w:tab w:pos="8901" w:val="right"/>
        </w:tabs>
        <w:spacing w:before="40" w:after="40" w:line="276" w:lineRule="auto"/>
        <w:ind w:firstLine="0"/>
      </w:pPr>
      <w:r>
        <w:tab/>
      </w:r>
      <m:oMath>
        <m:sSub>
          <m:e>
            <m:r>
              <m:t>F</m:t>
            </m:r>
          </m:e>
          <m:sub>
            <m:r>
              <m:t>h</m:t>
            </m:r>
          </m:sub>
        </m:sSub>
        <m:r>
          <m:t>=</m:t>
        </m:r>
        <m:f>
          <m:fPr>
            <m:type m:val="bar"/>
          </m:fPr>
          <m:num>
            <m:r>
              <m:t>ρg</m:t>
            </m:r>
            <m:sSubSup>
              <m:e>
                <m:r>
                  <m:t>h</m:t>
                </m:r>
              </m:e>
              <m:sub>
                <m:r>
                  <m:t>c</m:t>
                </m:r>
              </m:sub>
              <m:sup>
                <m:r>
                  <m:t>2</m:t>
                </m:r>
              </m:sup>
            </m:sSubSup>
          </m:num>
          <m:den>
            <m:r>
              <m:t>2</m:t>
            </m:r>
          </m:den>
        </m:f>
        <m:r>
          <m:t>=</m:t>
        </m:r>
        <m:f>
          <m:fPr>
            <m:type m:val="bar"/>
          </m:fPr>
          <m:num>
            <m:r>
              <m:t>840×9.81×</m:t>
            </m:r>
            <m:sSup>
              <m:e>
                <m:r>
                  <m:t>1.30</m:t>
                </m:r>
              </m:e>
              <m:sup>
                <m:r>
                  <m:t>2</m:t>
                </m:r>
              </m:sup>
            </m:sSup>
          </m:num>
          <m:den>
            <m:r>
              <m:t>2</m:t>
            </m:r>
          </m:den>
        </m:f>
        <m:r>
          <m:t>=6.96</m:t>
        </m:r>
        <m:r>
          <m:rPr>
            <m:sty m:val="p"/>
          </m:rPr>
          <m:t> </m:t>
        </m:r>
        <m:r>
          <m:rPr>
            <m:sty m:val="p"/>
          </m:rPr>
          <m:t>kN</m:t>
        </m:r>
        <m:r>
          <m:t>/</m:t>
        </m:r>
        <m:r>
          <m:rPr>
            <m:sty m:val="p"/>
          </m:rPr>
          <m:t>m</m:t>
        </m:r>
      </m:oMath>
      <w:r>
        <w:rPr>
          <w:rFonts w:ascii="Times New Roman" w:hAnsi="Times New Roman" w:eastAsia="宋体"/>
          <w:sz w:val="21"/>
        </w:rPr>
        <w:tab/>
        <w:t>(7-7)</w:t>
      </w:r>
    </w:p>
    <w:p>
      <w:pPr>
        <w:keepNext w:val="0"/>
        <w:keepLines/>
        <w:spacing w:line="360" w:lineRule="auto" w:before="0" w:after="0"/>
        <w:ind w:firstLine="480"/>
        <w:jc w:val="both"/>
      </w:pPr>
      <w:r>
        <w:rPr>
          <w:rFonts w:ascii="Times New Roman" w:hAnsi="Times New Roman" w:eastAsia="宋体"/>
          <w:sz w:val="24"/>
        </w:rPr>
        <w:t>该合力作用点位于堤底以上hc/3＝0.433 m处。压实土重度按GB 50009—2012附录A取18 kN/m³，单位长度堤体自重为：</w:t>
      </w:r>
    </w:p>
    <w:p>
      <w:pPr>
        <w:tabs>
          <w:tab w:pos="4450" w:val="center"/>
          <w:tab w:pos="8901" w:val="right"/>
        </w:tabs>
        <w:spacing w:before="40" w:after="40" w:line="276" w:lineRule="auto"/>
        <w:ind w:firstLine="0"/>
      </w:pPr>
      <w:r>
        <w:tab/>
      </w:r>
      <m:oMath>
        <m:r>
          <m:t>W=</m:t>
        </m:r>
        <m:d>
          <m:dPr>
            <m:begChr m:val="["/>
            <m:sepChr m:val=""/>
            <m:endChr m:val="]"/>
          </m:dPr>
          <m:e>
            <m:f>
              <m:fPr>
                <m:type m:val="bar"/>
              </m:fPr>
              <m:num>
                <m:r>
                  <m:t>(b+B)h</m:t>
                </m:r>
              </m:num>
              <m:den>
                <m:r>
                  <m:t>2</m:t>
                </m:r>
              </m:den>
            </m:f>
          </m:e>
        </m:d>
        <m:r>
          <m:t>γ=</m:t>
        </m:r>
        <m:d>
          <m:dPr>
            <m:begChr m:val="["/>
            <m:sepChr m:val=""/>
            <m:endChr m:val="]"/>
          </m:dPr>
          <m:e>
            <m:f>
              <m:fPr>
                <m:type m:val="bar"/>
              </m:fPr>
              <m:num>
                <m:r>
                  <m:t>(0.80+5.30)×1.50</m:t>
                </m:r>
              </m:num>
              <m:den>
                <m:r>
                  <m:t>2</m:t>
                </m:r>
              </m:den>
            </m:f>
          </m:e>
        </m:d>
        <m:r>
          <m:t>×18=82.35</m:t>
        </m:r>
        <m:r>
          <m:rPr>
            <m:sty m:val="p"/>
          </m:rPr>
          <m:t> </m:t>
        </m:r>
        <m:r>
          <m:rPr>
            <m:sty m:val="p"/>
          </m:rPr>
          <m:t>kN</m:t>
        </m:r>
        <m:r>
          <m:t>/</m:t>
        </m:r>
        <m:r>
          <m:rPr>
            <m:sty m:val="p"/>
          </m:rPr>
          <m:t>m</m:t>
        </m:r>
      </m:oMath>
      <w:r>
        <w:rPr>
          <w:rFonts w:ascii="Times New Roman" w:hAnsi="Times New Roman" w:eastAsia="宋体"/>
          <w:sz w:val="21"/>
        </w:rPr>
        <w:tab/>
        <w:t>(7-8)</w:t>
      </w:r>
    </w:p>
    <w:p>
      <w:pPr>
        <w:keepNext w:val="0"/>
        <w:keepLines/>
        <w:spacing w:line="360" w:lineRule="auto" w:before="0" w:after="0"/>
        <w:ind w:firstLine="480"/>
        <w:jc w:val="both"/>
      </w:pPr>
      <w:r>
        <w:rPr>
          <w:rFonts w:ascii="Times New Roman" w:hAnsi="Times New Roman" w:eastAsia="宋体"/>
          <w:sz w:val="24"/>
        </w:rPr>
        <w:t>抗滑计算不计黏聚力，堤基摩擦系数取0.30，则抗滑安全系数为：</w:t>
      </w:r>
    </w:p>
    <w:p>
      <w:pPr>
        <w:tabs>
          <w:tab w:pos="4450" w:val="center"/>
          <w:tab w:pos="8901" w:val="right"/>
        </w:tabs>
        <w:spacing w:before="40" w:after="40" w:line="276" w:lineRule="auto"/>
        <w:ind w:firstLine="0"/>
      </w:pPr>
      <w:r>
        <w:tab/>
      </w:r>
      <m:oMath>
        <m:sSub>
          <m:e>
            <m:r>
              <m:t>K</m:t>
            </m:r>
          </m:e>
          <m:sub>
            <m:r>
              <m:t>s</m:t>
            </m:r>
          </m:sub>
        </m:sSub>
        <m:r>
          <m:t>=</m:t>
        </m:r>
        <m:f>
          <m:fPr>
            <m:type m:val="bar"/>
          </m:fPr>
          <m:num>
            <m:r>
              <m:t>μW</m:t>
            </m:r>
          </m:num>
          <m:den>
            <m:sSub>
              <m:e>
                <m:r>
                  <m:t>F</m:t>
                </m:r>
              </m:e>
              <m:sub>
                <m:r>
                  <m:t>h</m:t>
                </m:r>
              </m:sub>
            </m:sSub>
          </m:den>
        </m:f>
        <m:r>
          <m:t>=</m:t>
        </m:r>
        <m:f>
          <m:fPr>
            <m:type m:val="bar"/>
          </m:fPr>
          <m:num>
            <m:r>
              <m:t>0.30×82.35</m:t>
            </m:r>
          </m:num>
          <m:den>
            <m:r>
              <m:t>6.96</m:t>
            </m:r>
          </m:den>
        </m:f>
        <m:r>
          <m:t>=3.55&gt;1.30</m:t>
        </m:r>
      </m:oMath>
      <w:r>
        <w:rPr>
          <w:rFonts w:ascii="Times New Roman" w:hAnsi="Times New Roman" w:eastAsia="宋体"/>
          <w:sz w:val="21"/>
        </w:rPr>
        <w:tab/>
        <w:t>(7-9)</w:t>
      </w:r>
    </w:p>
    <w:p>
      <w:pPr>
        <w:keepNext w:val="0"/>
        <w:keepLines/>
        <w:spacing w:line="360" w:lineRule="auto" w:before="0" w:after="0"/>
        <w:ind w:firstLine="480"/>
        <w:jc w:val="both"/>
      </w:pPr>
      <w:r>
        <w:rPr>
          <w:rFonts w:ascii="Times New Roman" w:hAnsi="Times New Roman" w:eastAsia="宋体"/>
          <w:sz w:val="24"/>
        </w:rPr>
        <w:t>以外侧堤趾为转动点，堤体自重作用线位于基底中部，抗倾覆安全系数为：</w:t>
      </w:r>
    </w:p>
    <w:p>
      <w:pPr>
        <w:tabs>
          <w:tab w:pos="4450" w:val="center"/>
          <w:tab w:pos="8901" w:val="right"/>
        </w:tabs>
        <w:spacing w:before="40" w:after="40" w:line="276" w:lineRule="auto"/>
        <w:ind w:firstLine="0"/>
      </w:pPr>
      <w:r>
        <w:tab/>
      </w:r>
      <m:oMath>
        <m:sSub>
          <m:e>
            <m:r>
              <m:t>K</m:t>
            </m:r>
          </m:e>
          <m:sub>
            <m:r>
              <m:t>o</m:t>
            </m:r>
          </m:sub>
        </m:sSub>
        <m:r>
          <m:t>=</m:t>
        </m:r>
        <m:f>
          <m:fPr>
            <m:type m:val="bar"/>
          </m:fPr>
          <m:num>
            <m:r>
              <m:t>W(B/2)</m:t>
            </m:r>
          </m:num>
          <m:den>
            <m:sSub>
              <m:e>
                <m:r>
                  <m:t>F</m:t>
                </m:r>
              </m:e>
              <m:sub>
                <m:r>
                  <m:t>h</m:t>
                </m:r>
              </m:sub>
            </m:sSub>
            <m:r>
              <m:t>(</m:t>
            </m:r>
            <m:sSub>
              <m:e>
                <m:r>
                  <m:t>h</m:t>
                </m:r>
              </m:e>
              <m:sub>
                <m:r>
                  <m:t>c</m:t>
                </m:r>
              </m:sub>
            </m:sSub>
            <m:r>
              <m:t>/3)</m:t>
            </m:r>
          </m:den>
        </m:f>
        <m:r>
          <m:t>=</m:t>
        </m:r>
        <m:f>
          <m:fPr>
            <m:type m:val="bar"/>
          </m:fPr>
          <m:num>
            <m:r>
              <m:t>82.35×2.65</m:t>
            </m:r>
          </m:num>
          <m:den>
            <m:r>
              <m:t>6.96×0.433</m:t>
            </m:r>
          </m:den>
        </m:f>
        <m:r>
          <m:t>=72.45&gt;1.50</m:t>
        </m:r>
      </m:oMath>
      <w:r>
        <w:rPr>
          <w:rFonts w:ascii="Times New Roman" w:hAnsi="Times New Roman" w:eastAsia="宋体"/>
          <w:sz w:val="21"/>
        </w:rPr>
        <w:tab/>
        <w:t>(7-10)</w:t>
      </w:r>
    </w:p>
    <w:p>
      <w:pPr>
        <w:keepNext w:val="0"/>
        <w:keepLines/>
        <w:spacing w:line="360" w:lineRule="auto" w:before="0" w:after="0"/>
        <w:ind w:firstLine="480"/>
        <w:jc w:val="both"/>
      </w:pPr>
      <w:r>
        <w:rPr>
          <w:rFonts w:ascii="Times New Roman" w:hAnsi="Times New Roman" w:eastAsia="宋体"/>
          <w:sz w:val="24"/>
        </w:rPr>
        <w:t>抗滑、抗倾覆校核均满足要求。防火堤耐火极限不低于5.5 h；穿堤管道采用刚性套管和不燃耐油材料严密封堵，穿堤处不设置法兰、阀门及可拆连接。排水口设常闭切断阀，事故状态下含油污水和消防废水经事故排水沟导入事故收集系统。防火堤设置不少于2处人行踏步，相邻踏步间距不大于60 m。</w:t>
      </w:r>
    </w:p>
    <w:p>
      <w:pPr>
        <w:pStyle w:val="8"/>
        <w:keepNext/>
        <w:spacing w:before="60" w:after="60" w:line="360" w:lineRule="auto"/>
        <w:jc w:val="left"/>
      </w:pPr>
      <w:r>
        <w:rPr>
          <w:rFonts w:ascii="Times New Roman" w:hAnsi="Times New Roman" w:eastAsia="黑体"/>
          <w:b/>
          <w:sz w:val="30"/>
        </w:rPr>
        <w:t>7.2 消防系统设计</w:t>
      </w:r>
    </w:p>
    <w:p>
      <w:pPr>
        <w:pStyle w:val="9"/>
        <w:keepNext/>
        <w:spacing w:before="60" w:after="60" w:line="360" w:lineRule="auto"/>
        <w:ind w:firstLine="480"/>
        <w:jc w:val="left"/>
      </w:pPr>
      <w:r>
        <w:rPr>
          <w:rFonts w:ascii="Times New Roman" w:hAnsi="Times New Roman" w:eastAsia="黑体"/>
          <w:b/>
          <w:sz w:val="28"/>
        </w:rPr>
        <w:t>7.2.1 泡沫灭火系统</w:t>
      </w:r>
    </w:p>
    <w:p>
      <w:pPr>
        <w:keepNext w:val="0"/>
        <w:keepLines/>
        <w:spacing w:line="360" w:lineRule="auto" w:before="0" w:after="0"/>
        <w:ind w:firstLine="480"/>
        <w:jc w:val="both"/>
      </w:pPr>
      <w:r>
        <w:rPr>
          <w:rFonts w:ascii="Times New Roman" w:hAnsi="Times New Roman" w:eastAsia="宋体"/>
          <w:sz w:val="24"/>
        </w:rPr>
        <w:t>根据GB 50074—2014第12.1.4条，容量大于1000 m³的甲B、丙A类地上立式储罐采用固定式泡沫灭火系统。本设计采用固定式低倍数液上喷射系统，汽油内浮顶罐按环形密封区保护，柴油固定顶罐按全液面保护。泡沫液采用适用于汽油和柴油等非水溶性烃类液体的3%型低倍数泡沫液；未知比例混合装置实际混合比时，按GB 50151—2021第4.1.4条取3.9%计算。</w:t>
      </w:r>
    </w:p>
    <w:p>
      <w:pPr>
        <w:keepNext/>
        <w:keepLines/>
        <w:spacing w:line="360" w:lineRule="auto" w:before="0" w:after="0"/>
        <w:ind w:firstLine="480"/>
        <w:jc w:val="both"/>
      </w:pPr>
      <w:r>
        <w:rPr>
          <w:rFonts w:ascii="Times New Roman" w:hAnsi="Times New Roman" w:eastAsia="宋体"/>
          <w:b/>
          <w:sz w:val="24"/>
        </w:rPr>
        <w:t>（1）汽油内浮顶罐泡沫计算</w:t>
      </w:r>
    </w:p>
    <w:p>
      <w:pPr>
        <w:keepNext w:val="0"/>
        <w:keepLines/>
        <w:spacing w:line="360" w:lineRule="auto" w:before="0" w:after="0"/>
        <w:ind w:firstLine="480"/>
        <w:jc w:val="both"/>
      </w:pPr>
      <w:r>
        <w:rPr>
          <w:rFonts w:ascii="Times New Roman" w:hAnsi="Times New Roman" w:eastAsia="宋体"/>
          <w:sz w:val="24"/>
        </w:rPr>
        <w:t>汽油罐采用全接液金属内浮顶，按GB 50151—2021第4.4.1～4.4.2条以罐壁与泡沫堰板之间的环形密封区作为保护面积。泡沫堰板距罐壁取0.55 m、高度取0.50 m，保护面积为：</w:t>
      </w:r>
    </w:p>
    <w:p>
      <w:pPr>
        <w:tabs>
          <w:tab w:pos="4450" w:val="center"/>
          <w:tab w:pos="8901" w:val="right"/>
        </w:tabs>
        <w:spacing w:before="40" w:after="40" w:line="276" w:lineRule="auto"/>
        <w:ind w:firstLine="0"/>
      </w:pPr>
      <w:r>
        <w:tab/>
      </w:r>
      <m:oMath>
        <m:sSub>
          <m:e>
            <m:r>
              <m:t>A</m:t>
            </m:r>
          </m:e>
          <m:sub>
            <m:r>
              <m:t>f</m:t>
            </m:r>
          </m:sub>
        </m:sSub>
        <m:r>
          <m:t>=</m:t>
        </m:r>
        <m:f>
          <m:fPr>
            <m:type m:val="bar"/>
          </m:fPr>
          <m:num>
            <m:r>
              <m:t>π</m:t>
            </m:r>
            <m:d>
              <m:dPr>
                <m:begChr m:val="["/>
                <m:sepChr m:val=""/>
                <m:endChr m:val="]"/>
              </m:dPr>
              <m:e>
                <m:sSup>
                  <m:e>
                    <m:r>
                      <m:t>D</m:t>
                    </m:r>
                  </m:e>
                  <m:sup>
                    <m:r>
                      <m:t>2</m:t>
                    </m:r>
                  </m:sup>
                </m:sSup>
                <m:r>
                  <m:t>−</m:t>
                </m:r>
                <m:r>
                  <m:t>(</m:t>
                </m:r>
                <m:r>
                  <m:t>D</m:t>
                </m:r>
                <m:r>
                  <m:t>−</m:t>
                </m:r>
                <m:r>
                  <m:t>2</m:t>
                </m:r>
                <m:r>
                  <m:t>b</m:t>
                </m:r>
                <m:sSup>
                  <m:e>
                    <m:r>
                      <m:t>)</m:t>
                    </m:r>
                  </m:e>
                  <m:sup>
                    <m:r>
                      <m:t>2</m:t>
                    </m:r>
                  </m:sup>
                </m:sSup>
              </m:e>
            </m:d>
          </m:num>
          <m:den>
            <m:r>
              <m:t>4</m:t>
            </m:r>
          </m:den>
        </m:f>
      </m:oMath>
      <w:r>
        <w:rPr>
          <w:rFonts w:ascii="Times New Roman" w:hAnsi="Times New Roman" w:eastAsia="宋体"/>
          <w:sz w:val="21"/>
        </w:rPr>
        <w:tab/>
        <w:t>(7-11)</w:t>
      </w:r>
    </w:p>
    <w:p>
      <w:pPr>
        <w:keepNext w:val="0"/>
        <w:keepLines/>
        <w:spacing w:line="360" w:lineRule="auto" w:before="0" w:after="0"/>
        <w:ind w:firstLine="480"/>
        <w:jc w:val="both"/>
      </w:pPr>
      <w:r>
        <w:rPr>
          <w:rFonts w:ascii="Times New Roman" w:hAnsi="Times New Roman" w:eastAsia="宋体"/>
          <w:sz w:val="24"/>
        </w:rPr>
        <w:t>式中：Af为环形保护面积，m²；D＝24.0 m；b＝0.55 m。代入得Af＝π×[24.0²－(24.0－2×0.55)²]/4＝40.52 m²。非水溶性液体内浮顶罐泡沫混合液供给强度取12.5 L/(min·m²)，连续供给时间取60 min。罐内混合液流量为：</w:t>
      </w:r>
    </w:p>
    <w:p>
      <w:pPr>
        <w:tabs>
          <w:tab w:pos="4450" w:val="center"/>
          <w:tab w:pos="8901" w:val="right"/>
        </w:tabs>
        <w:spacing w:before="40" w:after="40" w:line="276" w:lineRule="auto"/>
        <w:ind w:firstLine="0"/>
      </w:pPr>
      <w:r>
        <w:tab/>
      </w:r>
      <m:oMath>
        <m:sSub>
          <m:e>
            <m:r>
              <m:t>Q</m:t>
            </m:r>
          </m:e>
          <m:sub>
            <m:r>
              <m:t>f,G</m:t>
            </m:r>
          </m:sub>
        </m:sSub>
        <m:r>
          <m:t>=</m:t>
        </m:r>
        <m:f>
          <m:fPr>
            <m:type m:val="bar"/>
          </m:fPr>
          <m:num>
            <m:sSub>
              <m:e>
                <m:r>
                  <m:t>q</m:t>
                </m:r>
              </m:e>
              <m:sub>
                <m:r>
                  <m:t>f</m:t>
                </m:r>
              </m:sub>
            </m:sSub>
            <m:sSub>
              <m:e>
                <m:r>
                  <m:t>A</m:t>
                </m:r>
              </m:e>
              <m:sub>
                <m:r>
                  <m:t>f</m:t>
                </m:r>
              </m:sub>
            </m:sSub>
          </m:num>
          <m:den>
            <m:r>
              <m:t>60</m:t>
            </m:r>
          </m:den>
        </m:f>
        <m:r>
          <m:t>=</m:t>
        </m:r>
        <m:f>
          <m:fPr>
            <m:type m:val="bar"/>
          </m:fPr>
          <m:num>
            <m:r>
              <m:t>12.5×40.52</m:t>
            </m:r>
          </m:num>
          <m:den>
            <m:r>
              <m:t>60</m:t>
            </m:r>
          </m:den>
        </m:f>
        <m:r>
          <m:t>=8.44</m:t>
        </m:r>
        <m:r>
          <m:rPr>
            <m:sty m:val="p"/>
          </m:rPr>
          <m:t> </m:t>
        </m:r>
        <m:f>
          <m:fPr>
            <m:type m:val="lin"/>
          </m:fPr>
          <m:num>
            <m:r>
              <m:rPr>
                <m:sty m:val="p"/>
              </m:rPr>
              <m:t>L</m:t>
            </m:r>
          </m:num>
          <m:den>
            <m:r>
              <m:rPr>
                <m:sty m:val="p"/>
              </m:rPr>
              <m:t>s</m:t>
            </m:r>
          </m:den>
        </m:f>
      </m:oMath>
      <w:r>
        <w:rPr>
          <w:rFonts w:ascii="Times New Roman" w:hAnsi="Times New Roman" w:eastAsia="宋体"/>
          <w:sz w:val="21"/>
        </w:rPr>
        <w:tab/>
        <w:t>(7-12)</w:t>
      </w:r>
    </w:p>
    <w:p>
      <w:pPr>
        <w:keepNext w:val="0"/>
        <w:keepLines/>
        <w:spacing w:line="360" w:lineRule="auto" w:before="0" w:after="0"/>
        <w:ind w:firstLine="480"/>
        <w:jc w:val="both"/>
      </w:pPr>
      <w:r>
        <w:rPr>
          <w:rFonts w:ascii="Times New Roman" w:hAnsi="Times New Roman" w:eastAsia="宋体"/>
          <w:sz w:val="24"/>
        </w:rPr>
        <w:t>罐内泡沫混合液用量为：</w:t>
      </w:r>
    </w:p>
    <w:p>
      <w:pPr>
        <w:tabs>
          <w:tab w:pos="4450" w:val="center"/>
          <w:tab w:pos="8901" w:val="right"/>
        </w:tabs>
        <w:spacing w:before="40" w:after="40" w:line="276" w:lineRule="auto"/>
        <w:ind w:firstLine="0"/>
      </w:pPr>
      <w:r>
        <w:tab/>
      </w:r>
      <m:oMath>
        <m:sSub>
          <m:e>
            <m:r>
              <m:t>V</m:t>
            </m:r>
          </m:e>
          <m:sub>
            <m:r>
              <m:t>f,G</m:t>
            </m:r>
          </m:sub>
        </m:sSub>
        <m:r>
          <m:t>=</m:t>
        </m:r>
        <m:f>
          <m:fPr>
            <m:type m:val="bar"/>
          </m:fPr>
          <m:num>
            <m:sSub>
              <m:e>
                <m:r>
                  <m:t>Q</m:t>
                </m:r>
              </m:e>
              <m:sub>
                <m:r>
                  <m:t>f,G</m:t>
                </m:r>
              </m:sub>
            </m:sSub>
            <m:r>
              <m:t>t</m:t>
            </m:r>
          </m:num>
          <m:den>
            <m:r>
              <m:t>1000</m:t>
            </m:r>
          </m:den>
        </m:f>
        <m:r>
          <m:t>=</m:t>
        </m:r>
        <m:f>
          <m:fPr>
            <m:type m:val="bar"/>
          </m:fPr>
          <m:num>
            <m:r>
              <m:t>8.44×60×60</m:t>
            </m:r>
          </m:num>
          <m:den>
            <m:r>
              <m:t>1000</m:t>
            </m:r>
          </m:den>
        </m:f>
        <m:r>
          <m:t>=30.39</m:t>
        </m:r>
        <m:r>
          <m:rPr>
            <m:sty m:val="p"/>
          </m:rPr>
          <m:t> </m:t>
        </m:r>
        <m:sSup>
          <m:e>
            <m:r>
              <m:rPr>
                <m:sty m:val="p"/>
              </m:rPr>
              <m:t>m</m:t>
            </m:r>
          </m:e>
          <m:sup>
            <m:r>
              <m:t>3</m:t>
            </m:r>
          </m:sup>
        </m:sSup>
      </m:oMath>
      <w:r>
        <w:rPr>
          <w:rFonts w:ascii="Times New Roman" w:hAnsi="Times New Roman" w:eastAsia="宋体"/>
          <w:sz w:val="21"/>
        </w:rPr>
        <w:tab/>
        <w:t>(7-13)</w:t>
      </w:r>
    </w:p>
    <w:p>
      <w:pPr>
        <w:keepNext w:val="0"/>
        <w:keepLines/>
        <w:spacing w:line="360" w:lineRule="auto" w:before="0" w:after="0"/>
        <w:ind w:firstLine="480"/>
        <w:jc w:val="both"/>
      </w:pPr>
      <w:r>
        <w:rPr>
          <w:rFonts w:ascii="Times New Roman" w:hAnsi="Times New Roman" w:eastAsia="宋体"/>
          <w:sz w:val="24"/>
        </w:rPr>
        <w:t>单个泡沫产生器最大保护周长为24 m，所需数量为：</w:t>
      </w:r>
    </w:p>
    <w:p>
      <w:pPr>
        <w:tabs>
          <w:tab w:pos="4450" w:val="center"/>
          <w:tab w:pos="8901" w:val="right"/>
        </w:tabs>
        <w:spacing w:before="40" w:after="40" w:line="276" w:lineRule="auto"/>
        <w:ind w:firstLine="0"/>
      </w:pPr>
      <w:r>
        <w:tab/>
      </w:r>
      <m:oMath>
        <m:r>
          <m:t>N=</m:t>
        </m:r>
        <m:d>
          <m:dPr>
            <m:begChr m:val="⌈"/>
            <m:sepChr m:val=""/>
            <m:endChr m:val="⌉"/>
          </m:dPr>
          <m:e>
            <m:f>
              <m:fPr>
                <m:type m:val="bar"/>
              </m:fPr>
              <m:num>
                <m:r>
                  <m:t>πD</m:t>
                </m:r>
              </m:num>
              <m:den>
                <m:r>
                  <m:t>24</m:t>
                </m:r>
              </m:den>
            </m:f>
          </m:e>
        </m:d>
        <m:r>
          <m:t>=</m:t>
        </m:r>
        <m:d>
          <m:dPr>
            <m:begChr m:val="⌈"/>
            <m:sepChr m:val=""/>
            <m:endChr m:val="⌉"/>
          </m:dPr>
          <m:e>
            <m:f>
              <m:fPr>
                <m:type m:val="bar"/>
              </m:fPr>
              <m:num>
                <m:r>
                  <m:t>π×24</m:t>
                </m:r>
              </m:num>
              <m:den>
                <m:r>
                  <m:t>24</m:t>
                </m:r>
              </m:den>
            </m:f>
          </m:e>
        </m:d>
        <m:r>
          <m:t>=4</m:t>
        </m:r>
      </m:oMath>
      <w:r>
        <w:rPr>
          <w:rFonts w:ascii="Times New Roman" w:hAnsi="Times New Roman" w:eastAsia="宋体"/>
          <w:sz w:val="21"/>
        </w:rPr>
        <w:tab/>
        <w:t>(7-14)</w:t>
      </w:r>
    </w:p>
    <w:p>
      <w:pPr>
        <w:keepNext w:val="0"/>
        <w:keepLines/>
        <w:spacing w:line="360" w:lineRule="auto" w:before="0" w:after="0"/>
        <w:ind w:firstLine="480"/>
        <w:jc w:val="both"/>
      </w:pPr>
      <w:r>
        <w:rPr>
          <w:rFonts w:ascii="Times New Roman" w:hAnsi="Times New Roman" w:eastAsia="宋体"/>
          <w:sz w:val="24"/>
        </w:rPr>
        <w:t>每座汽油罐设置4个同规格立式低倍数泡沫产生器，沿罐周均匀布置，单个产生器设计流量不小于8.44/4＝2.11 L/s，并在释放口设置泡沫缓释罩。</w:t>
      </w:r>
    </w:p>
    <w:p>
      <w:pPr>
        <w:keepNext/>
        <w:keepLines/>
        <w:spacing w:line="360" w:lineRule="auto" w:before="0" w:after="0"/>
        <w:ind w:firstLine="480"/>
        <w:jc w:val="both"/>
      </w:pPr>
      <w:r>
        <w:rPr>
          <w:rFonts w:ascii="Times New Roman" w:hAnsi="Times New Roman" w:eastAsia="宋体"/>
          <w:b/>
          <w:sz w:val="24"/>
        </w:rPr>
        <w:t>（2）柴油固定顶罐泡沫计算</w:t>
      </w:r>
    </w:p>
    <w:p>
      <w:pPr>
        <w:keepNext w:val="0"/>
        <w:keepLines/>
        <w:spacing w:line="360" w:lineRule="auto" w:before="0" w:after="0"/>
        <w:ind w:firstLine="480"/>
        <w:jc w:val="both"/>
      </w:pPr>
      <w:r>
        <w:rPr>
          <w:rFonts w:ascii="Times New Roman" w:hAnsi="Times New Roman" w:eastAsia="宋体"/>
          <w:sz w:val="24"/>
        </w:rPr>
        <w:t>柴油固定顶罐保护面积按GB 50151—2021第4.2.1条取储罐横截面积：</w:t>
      </w:r>
    </w:p>
    <w:p>
      <w:pPr>
        <w:tabs>
          <w:tab w:pos="4450" w:val="center"/>
          <w:tab w:pos="8901" w:val="right"/>
        </w:tabs>
        <w:spacing w:before="40" w:after="40" w:line="276" w:lineRule="auto"/>
        <w:ind w:firstLine="0"/>
      </w:pPr>
      <w:r>
        <w:tab/>
      </w:r>
      <m:oMath>
        <m:sSub>
          <m:e>
            <m:r>
              <m:t>A</m:t>
            </m:r>
          </m:e>
          <m:sub>
            <m:r>
              <m:t>D</m:t>
            </m:r>
          </m:sub>
        </m:sSub>
        <m:r>
          <m:t>=</m:t>
        </m:r>
        <m:f>
          <m:fPr>
            <m:type m:val="bar"/>
          </m:fPr>
          <m:num>
            <m:r>
              <m:t>π</m:t>
            </m:r>
            <m:sSup>
              <m:e>
                <m:r>
                  <m:t>D</m:t>
                </m:r>
              </m:e>
              <m:sup>
                <m:r>
                  <m:t>2</m:t>
                </m:r>
              </m:sup>
            </m:sSup>
          </m:num>
          <m:den>
            <m:r>
              <m:t>4</m:t>
            </m:r>
          </m:den>
        </m:f>
        <m:r>
          <m:t>=</m:t>
        </m:r>
        <m:f>
          <m:fPr>
            <m:type m:val="bar"/>
          </m:fPr>
          <m:num>
            <m:r>
              <m:t>π×</m:t>
            </m:r>
            <m:sSup>
              <m:e>
                <m:r>
                  <m:t>24</m:t>
                </m:r>
              </m:e>
              <m:sup>
                <m:r>
                  <m:t>2</m:t>
                </m:r>
              </m:sup>
            </m:sSup>
          </m:num>
          <m:den>
            <m:r>
              <m:t>4</m:t>
            </m:r>
          </m:den>
        </m:f>
        <m:r>
          <m:t>=452.39</m:t>
        </m:r>
        <m:r>
          <m:rPr>
            <m:sty m:val="p"/>
          </m:rPr>
          <m:t> </m:t>
        </m:r>
        <m:sSup>
          <m:e>
            <m:r>
              <m:rPr>
                <m:sty m:val="p"/>
              </m:rPr>
              <m:t>m</m:t>
            </m:r>
          </m:e>
          <m:sup>
            <m:r>
              <m:t>2</m:t>
            </m:r>
          </m:sup>
        </m:sSup>
      </m:oMath>
      <w:r>
        <w:rPr>
          <w:rFonts w:ascii="Times New Roman" w:hAnsi="Times New Roman" w:eastAsia="宋体"/>
          <w:sz w:val="21"/>
        </w:rPr>
        <w:tab/>
        <w:t>(7-15)</w:t>
      </w:r>
    </w:p>
    <w:p>
      <w:pPr>
        <w:keepNext w:val="0"/>
        <w:keepLines/>
        <w:spacing w:line="360" w:lineRule="auto" w:before="0" w:after="0"/>
        <w:ind w:firstLine="480"/>
        <w:jc w:val="both"/>
      </w:pPr>
      <w:r>
        <w:rPr>
          <w:rFonts w:ascii="Times New Roman" w:hAnsi="Times New Roman" w:eastAsia="宋体"/>
          <w:sz w:val="24"/>
        </w:rPr>
        <w:t>非水溶性丙类液体固定顶罐液上喷射系统供给强度取6.0 L/(min·m²)，连续供给时间取30 min。罐内泡沫混合液流量为：</w:t>
      </w:r>
    </w:p>
    <w:p>
      <w:pPr>
        <w:tabs>
          <w:tab w:pos="4450" w:val="center"/>
          <w:tab w:pos="8901" w:val="right"/>
        </w:tabs>
        <w:spacing w:before="40" w:after="40" w:line="276" w:lineRule="auto"/>
        <w:ind w:firstLine="0"/>
      </w:pPr>
      <w:r>
        <w:tab/>
      </w:r>
      <m:oMath>
        <m:sSub>
          <m:e>
            <m:r>
              <m:t>Q</m:t>
            </m:r>
          </m:e>
          <m:sub>
            <m:r>
              <m:t>f,D</m:t>
            </m:r>
          </m:sub>
        </m:sSub>
        <m:r>
          <m:t>=</m:t>
        </m:r>
        <m:f>
          <m:fPr>
            <m:type m:val="bar"/>
          </m:fPr>
          <m:num>
            <m:r>
              <m:t>6.0×452.39</m:t>
            </m:r>
          </m:num>
          <m:den>
            <m:r>
              <m:t>60</m:t>
            </m:r>
          </m:den>
        </m:f>
        <m:r>
          <m:t>=45.24</m:t>
        </m:r>
        <m:r>
          <m:rPr>
            <m:sty m:val="p"/>
          </m:rPr>
          <m:t> </m:t>
        </m:r>
        <m:f>
          <m:fPr>
            <m:type m:val="lin"/>
          </m:fPr>
          <m:num>
            <m:r>
              <m:rPr>
                <m:sty m:val="p"/>
              </m:rPr>
              <m:t>L</m:t>
            </m:r>
          </m:num>
          <m:den>
            <m:r>
              <m:rPr>
                <m:sty m:val="p"/>
              </m:rPr>
              <m:t>s</m:t>
            </m:r>
          </m:den>
        </m:f>
      </m:oMath>
      <w:r>
        <w:rPr>
          <w:rFonts w:ascii="Times New Roman" w:hAnsi="Times New Roman" w:eastAsia="宋体"/>
          <w:sz w:val="21"/>
        </w:rPr>
        <w:tab/>
        <w:t>(7-16)</w:t>
      </w:r>
    </w:p>
    <w:p>
      <w:pPr>
        <w:keepNext w:val="0"/>
        <w:keepLines/>
        <w:spacing w:line="360" w:lineRule="auto" w:before="0" w:after="0"/>
        <w:ind w:firstLine="480"/>
        <w:jc w:val="both"/>
      </w:pPr>
      <w:r>
        <w:rPr>
          <w:rFonts w:ascii="Times New Roman" w:hAnsi="Times New Roman" w:eastAsia="宋体"/>
          <w:sz w:val="24"/>
        </w:rPr>
        <w:t>罐内泡沫混合液用量为：</w:t>
      </w:r>
    </w:p>
    <w:p>
      <w:pPr>
        <w:tabs>
          <w:tab w:pos="4450" w:val="center"/>
          <w:tab w:pos="8901" w:val="right"/>
        </w:tabs>
        <w:spacing w:before="40" w:after="40" w:line="276" w:lineRule="auto"/>
        <w:ind w:firstLine="0"/>
      </w:pPr>
      <w:r>
        <w:tab/>
      </w:r>
      <m:oMath>
        <m:sSub>
          <m:e>
            <m:r>
              <m:t>V</m:t>
            </m:r>
          </m:e>
          <m:sub>
            <m:r>
              <m:t>f,D</m:t>
            </m:r>
          </m:sub>
        </m:sSub>
        <m:r>
          <m:t>=</m:t>
        </m:r>
        <m:f>
          <m:fPr>
            <m:type m:val="bar"/>
          </m:fPr>
          <m:num>
            <m:r>
              <m:t>45.24×30×60</m:t>
            </m:r>
          </m:num>
          <m:den>
            <m:r>
              <m:t>1000</m:t>
            </m:r>
          </m:den>
        </m:f>
        <m:r>
          <m:t>=81.43</m:t>
        </m:r>
        <m:r>
          <m:rPr>
            <m:sty m:val="p"/>
          </m:rPr>
          <m:t> </m:t>
        </m:r>
        <m:sSup>
          <m:e>
            <m:r>
              <m:rPr>
                <m:sty m:val="p"/>
              </m:rPr>
              <m:t>m</m:t>
            </m:r>
          </m:e>
          <m:sup>
            <m:r>
              <m:t>3</m:t>
            </m:r>
          </m:sup>
        </m:sSup>
      </m:oMath>
      <w:r>
        <w:rPr>
          <w:rFonts w:ascii="Times New Roman" w:hAnsi="Times New Roman" w:eastAsia="宋体"/>
          <w:sz w:val="21"/>
        </w:rPr>
        <w:tab/>
        <w:t>(7-17)</w:t>
      </w:r>
    </w:p>
    <w:p>
      <w:pPr>
        <w:keepNext w:val="0"/>
        <w:keepLines/>
        <w:spacing w:line="360" w:lineRule="auto" w:before="0" w:after="0"/>
        <w:ind w:firstLine="480"/>
        <w:jc w:val="both"/>
      </w:pPr>
      <w:r>
        <w:rPr>
          <w:rFonts w:ascii="Times New Roman" w:hAnsi="Times New Roman" w:eastAsia="宋体"/>
          <w:sz w:val="24"/>
        </w:rPr>
        <w:t>直径24 m固定顶罐按GB 50151—2021表4.2.3至少设置2个泡沫产生器。为使单个产生器流量与系统供给均匀，本设计设置4个同规格立式泡沫产生器，沿罐周均布，单个产生器设计流量不小于45.24/4＝11.31 L/s。</w:t>
      </w:r>
    </w:p>
    <w:p>
      <w:pPr>
        <w:keepNext/>
        <w:keepLines/>
        <w:spacing w:line="360" w:lineRule="auto" w:before="0" w:after="0"/>
        <w:ind w:firstLine="480"/>
        <w:jc w:val="both"/>
      </w:pPr>
      <w:r>
        <w:rPr>
          <w:rFonts w:ascii="Times New Roman" w:hAnsi="Times New Roman" w:eastAsia="宋体"/>
          <w:b/>
          <w:sz w:val="24"/>
        </w:rPr>
        <w:t>（3）辅助泡沫枪、泡沫液及泵组</w:t>
      </w:r>
    </w:p>
    <w:p>
      <w:pPr>
        <w:keepNext w:val="0"/>
        <w:keepLines/>
        <w:spacing w:line="360" w:lineRule="auto" w:before="0" w:after="0"/>
        <w:ind w:firstLine="480"/>
        <w:jc w:val="both"/>
      </w:pPr>
      <w:r>
        <w:rPr>
          <w:rFonts w:ascii="Times New Roman" w:hAnsi="Times New Roman" w:eastAsia="宋体"/>
          <w:sz w:val="24"/>
        </w:rPr>
        <w:t>按GB 50151—2021第4.1.5条，直径24 m储罐配置2支辅助泡沫枪，每支混合液流量不小于240 L/min，连续供给20 min。辅助泡沫枪流量和用量分别为：</w:t>
      </w:r>
    </w:p>
    <w:p>
      <w:pPr>
        <w:tabs>
          <w:tab w:pos="4450" w:val="center"/>
          <w:tab w:pos="8901" w:val="right"/>
        </w:tabs>
        <w:spacing w:before="40" w:after="40" w:line="276" w:lineRule="auto"/>
        <w:ind w:firstLine="0"/>
      </w:pPr>
      <w:r>
        <w:tab/>
      </w:r>
      <m:oMath>
        <m:sSub>
          <m:e>
            <m:r>
              <m:t>Q</m:t>
            </m:r>
          </m:e>
          <m:sub>
            <m:r>
              <m:t>g</m:t>
            </m:r>
          </m:sub>
        </m:sSub>
        <m:r>
          <m:t>=</m:t>
        </m:r>
        <m:f>
          <m:fPr>
            <m:type m:val="bar"/>
          </m:fPr>
          <m:num>
            <m:r>
              <m:t>2×240</m:t>
            </m:r>
          </m:num>
          <m:den>
            <m:r>
              <m:t>60</m:t>
            </m:r>
          </m:den>
        </m:f>
        <m:r>
          <m:t>=8.00</m:t>
        </m:r>
        <m:r>
          <m:rPr>
            <m:sty m:val="p"/>
          </m:rPr>
          <m:t> </m:t>
        </m:r>
        <m:f>
          <m:fPr>
            <m:type m:val="lin"/>
          </m:fPr>
          <m:num>
            <m:r>
              <m:rPr>
                <m:sty m:val="p"/>
              </m:rPr>
              <m:t>L</m:t>
            </m:r>
          </m:num>
          <m:den>
            <m:r>
              <m:rPr>
                <m:sty m:val="p"/>
              </m:rPr>
              <m:t>s</m:t>
            </m:r>
          </m:den>
        </m:f>
      </m:oMath>
      <w:r>
        <w:rPr>
          <w:rFonts w:ascii="Times New Roman" w:hAnsi="Times New Roman" w:eastAsia="宋体"/>
          <w:sz w:val="21"/>
        </w:rPr>
        <w:tab/>
        <w:t>(7-18)</w:t>
      </w:r>
    </w:p>
    <w:p>
      <w:pPr>
        <w:tabs>
          <w:tab w:pos="4450" w:val="center"/>
          <w:tab w:pos="8901" w:val="right"/>
        </w:tabs>
        <w:spacing w:before="40" w:after="40" w:line="276" w:lineRule="auto"/>
        <w:ind w:firstLine="0"/>
      </w:pPr>
      <w:r>
        <w:tab/>
      </w:r>
      <m:oMath>
        <m:sSub>
          <m:e>
            <m:r>
              <m:t>V</m:t>
            </m:r>
          </m:e>
          <m:sub>
            <m:r>
              <m:t>g</m:t>
            </m:r>
          </m:sub>
        </m:sSub>
        <m:r>
          <m:t>=</m:t>
        </m:r>
        <m:f>
          <m:fPr>
            <m:type m:val="bar"/>
          </m:fPr>
          <m:num>
            <m:r>
              <m:t>8.00×20×60</m:t>
            </m:r>
          </m:num>
          <m:den>
            <m:r>
              <m:t>1000</m:t>
            </m:r>
          </m:den>
        </m:f>
        <m:r>
          <m:t>=9.60</m:t>
        </m:r>
        <m:r>
          <m:rPr>
            <m:sty m:val="p"/>
          </m:rPr>
          <m:t> </m:t>
        </m:r>
        <m:sSup>
          <m:e>
            <m:r>
              <m:rPr>
                <m:sty m:val="p"/>
              </m:rPr>
              <m:t>m</m:t>
            </m:r>
          </m:e>
          <m:sup>
            <m:r>
              <m:t>3</m:t>
            </m:r>
          </m:sup>
        </m:sSup>
      </m:oMath>
      <w:r>
        <w:rPr>
          <w:rFonts w:ascii="Times New Roman" w:hAnsi="Times New Roman" w:eastAsia="宋体"/>
          <w:sz w:val="21"/>
        </w:rPr>
        <w:tab/>
        <w:t>(7-19)</w:t>
      </w:r>
    </w:p>
    <w:p>
      <w:pPr>
        <w:keepNext w:val="0"/>
        <w:keepLines/>
        <w:spacing w:line="360" w:lineRule="auto" w:before="0" w:after="0"/>
        <w:ind w:firstLine="480"/>
        <w:jc w:val="both"/>
      </w:pPr>
      <w:r>
        <w:rPr>
          <w:rFonts w:ascii="Times New Roman" w:hAnsi="Times New Roman" w:eastAsia="宋体"/>
          <w:sz w:val="24"/>
        </w:rPr>
        <w:t>最大泡沫工况为0号柴油固定顶罐全液面火灾。依据第4章总平面管廊长度，消防泵房至最不利柴油罐泡沫主管采用DN200、长度300 m，罐组支管采用DN150、长度100 m，管道充填容积为π×0.20²×300/4＋π×0.15²×100/4＝11.19 m³。一次火灾泡沫混合液总量为：</w:t>
      </w:r>
    </w:p>
    <w:p>
      <w:pPr>
        <w:tabs>
          <w:tab w:pos="4450" w:val="center"/>
          <w:tab w:pos="8901" w:val="right"/>
        </w:tabs>
        <w:spacing w:before="40" w:after="40" w:line="276" w:lineRule="auto"/>
        <w:ind w:firstLine="0"/>
      </w:pPr>
      <w:r>
        <w:tab/>
      </w:r>
      <m:oMath>
        <m:sSub>
          <m:e>
            <m:r>
              <m:t>V</m:t>
            </m:r>
          </m:e>
          <m:sub>
            <m:r>
              <m:t>m</m:t>
            </m:r>
          </m:sub>
        </m:sSub>
        <m:r>
          <m:t>=</m:t>
        </m:r>
        <m:sSub>
          <m:e>
            <m:r>
              <m:t>V</m:t>
            </m:r>
          </m:e>
          <m:sub>
            <m:r>
              <m:t>f,D</m:t>
            </m:r>
          </m:sub>
        </m:sSub>
        <m:r>
          <m:t>+</m:t>
        </m:r>
        <m:sSub>
          <m:e>
            <m:r>
              <m:t>V</m:t>
            </m:r>
          </m:e>
          <m:sub>
            <m:r>
              <m:t>g</m:t>
            </m:r>
          </m:sub>
        </m:sSub>
        <m:r>
          <m:t>+</m:t>
        </m:r>
        <m:sSub>
          <m:e>
            <m:r>
              <m:t>V</m:t>
            </m:r>
          </m:e>
          <m:sub>
            <m:r>
              <m:t>p</m:t>
            </m:r>
          </m:sub>
        </m:sSub>
        <m:r>
          <m:t>=81.43+9.60+11.19=102.22</m:t>
        </m:r>
        <m:r>
          <m:rPr>
            <m:sty m:val="p"/>
          </m:rPr>
          <m:t> </m:t>
        </m:r>
        <m:sSup>
          <m:e>
            <m:r>
              <m:rPr>
                <m:sty m:val="p"/>
              </m:rPr>
              <m:t>m</m:t>
            </m:r>
          </m:e>
          <m:sup>
            <m:r>
              <m:t>3</m:t>
            </m:r>
          </m:sup>
        </m:sSup>
      </m:oMath>
      <w:r>
        <w:rPr>
          <w:rFonts w:ascii="Times New Roman" w:hAnsi="Times New Roman" w:eastAsia="宋体"/>
          <w:sz w:val="21"/>
        </w:rPr>
        <w:tab/>
        <w:t>(7-20)</w:t>
      </w:r>
    </w:p>
    <w:p>
      <w:pPr>
        <w:keepNext w:val="0"/>
        <w:keepLines/>
        <w:spacing w:line="360" w:lineRule="auto" w:before="0" w:after="0"/>
        <w:ind w:firstLine="480"/>
        <w:jc w:val="both"/>
      </w:pPr>
      <w:r>
        <w:rPr>
          <w:rFonts w:ascii="Times New Roman" w:hAnsi="Times New Roman" w:eastAsia="宋体"/>
          <w:sz w:val="24"/>
        </w:rPr>
        <w:t>泡沫液计算量为：</w:t>
      </w:r>
    </w:p>
    <w:p>
      <w:pPr>
        <w:tabs>
          <w:tab w:pos="4450" w:val="center"/>
          <w:tab w:pos="8901" w:val="right"/>
        </w:tabs>
        <w:spacing w:before="40" w:after="40" w:line="276" w:lineRule="auto"/>
        <w:ind w:firstLine="0"/>
      </w:pPr>
      <w:r>
        <w:tab/>
      </w:r>
      <m:oMath>
        <m:sSub>
          <m:e>
            <m:r>
              <m:t>V</m:t>
            </m:r>
          </m:e>
          <m:sub>
            <m:r>
              <m:t>c</m:t>
            </m:r>
          </m:sub>
        </m:sSub>
        <m:r>
          <m:t>=0.039</m:t>
        </m:r>
        <m:sSub>
          <m:e>
            <m:r>
              <m:t>V</m:t>
            </m:r>
          </m:e>
          <m:sub>
            <m:r>
              <m:t>m</m:t>
            </m:r>
          </m:sub>
        </m:sSub>
        <m:r>
          <m:t>=0.039×102.22=3.99</m:t>
        </m:r>
        <m:r>
          <m:rPr>
            <m:sty m:val="p"/>
          </m:rPr>
          <m:t> </m:t>
        </m:r>
        <m:sSup>
          <m:e>
            <m:r>
              <m:rPr>
                <m:sty m:val="p"/>
              </m:rPr>
              <m:t>m</m:t>
            </m:r>
          </m:e>
          <m:sup>
            <m:r>
              <m:t>3</m:t>
            </m:r>
          </m:sup>
        </m:sSup>
      </m:oMath>
      <w:r>
        <w:rPr>
          <w:rFonts w:ascii="Times New Roman" w:hAnsi="Times New Roman" w:eastAsia="宋体"/>
          <w:sz w:val="21"/>
        </w:rPr>
        <w:tab/>
        <w:t>(7-21)</w:t>
      </w:r>
    </w:p>
    <w:p>
      <w:pPr>
        <w:keepNext w:val="0"/>
        <w:keepLines/>
        <w:spacing w:line="360" w:lineRule="auto" w:before="0" w:after="0"/>
        <w:ind w:firstLine="480"/>
        <w:jc w:val="both"/>
      </w:pPr>
      <w:r>
        <w:rPr>
          <w:rFonts w:ascii="Times New Roman" w:hAnsi="Times New Roman" w:eastAsia="宋体"/>
          <w:sz w:val="24"/>
        </w:rPr>
        <w:t>GB 50074—2014第12.3.7条规定泡沫液储备量在计算量基础上增加不少于100%的富余量，故最小储备量为：</w:t>
      </w:r>
    </w:p>
    <w:p>
      <w:pPr>
        <w:tabs>
          <w:tab w:pos="4450" w:val="center"/>
          <w:tab w:pos="8901" w:val="right"/>
        </w:tabs>
        <w:spacing w:before="40" w:after="40" w:line="276" w:lineRule="auto"/>
        <w:ind w:firstLine="0"/>
      </w:pPr>
      <w:r>
        <w:tab/>
      </w:r>
      <m:oMath>
        <m:sSub>
          <m:e>
            <m:r>
              <m:t>V</m:t>
            </m:r>
          </m:e>
          <m:sub>
            <m:r>
              <m:t>c,min</m:t>
            </m:r>
          </m:sub>
        </m:sSub>
        <m:r>
          <m:t>=2</m:t>
        </m:r>
        <m:sSub>
          <m:e>
            <m:r>
              <m:t>V</m:t>
            </m:r>
          </m:e>
          <m:sub>
            <m:r>
              <m:t>c</m:t>
            </m:r>
          </m:sub>
        </m:sSub>
        <m:r>
          <m:t>=2×3.99=7.98</m:t>
        </m:r>
        <m:r>
          <m:rPr>
            <m:sty m:val="p"/>
          </m:rPr>
          <m:t> </m:t>
        </m:r>
        <m:sSup>
          <m:e>
            <m:r>
              <m:rPr>
                <m:sty m:val="p"/>
              </m:rPr>
              <m:t>m</m:t>
            </m:r>
          </m:e>
          <m:sup>
            <m:r>
              <m:t>3</m:t>
            </m:r>
          </m:sup>
        </m:sSup>
      </m:oMath>
      <w:r>
        <w:rPr>
          <w:rFonts w:ascii="Times New Roman" w:hAnsi="Times New Roman" w:eastAsia="宋体"/>
          <w:sz w:val="21"/>
        </w:rPr>
        <w:tab/>
        <w:t>(7-22)</w:t>
      </w:r>
    </w:p>
    <w:p>
      <w:pPr>
        <w:keepNext w:val="0"/>
        <w:keepLines/>
        <w:spacing w:line="360" w:lineRule="auto" w:before="0" w:after="0"/>
        <w:ind w:firstLine="480"/>
        <w:jc w:val="both"/>
      </w:pPr>
      <w:r>
        <w:rPr>
          <w:rFonts w:ascii="Times New Roman" w:hAnsi="Times New Roman" w:eastAsia="宋体"/>
          <w:sz w:val="24"/>
        </w:rPr>
        <w:t>设置2座5 m³常压泡沫液储罐，总有效储量10 m³，大于7.98 m³。泡沫混合液最大瞬时流量为45.24＋8.00＝53.24 L/s，泡沫消防泵取额定流量55 L/s，设置2台同规格泵，1用1备；比例混合装置额定流量不小于55 L/s。</w:t>
      </w:r>
    </w:p>
    <w:p>
      <w:pPr>
        <w:pStyle w:val="6"/>
        <w:keepNext/>
        <w:pageBreakBefore w:val="0"/>
        <w:spacing w:before="120" w:after="60"/>
        <w:jc w:val="center"/>
      </w:pPr>
      <w:r>
        <w:rPr>
          <w:rFonts w:ascii="Times New Roman" w:hAnsi="Times New Roman" w:eastAsia="宋体"/>
          <w:b/>
          <w:sz w:val="22"/>
        </w:rPr>
        <w:t>表7-3 储罐泡沫灭火系统计算结果</w:t>
      </w:r>
    </w:p>
    <w:tbl>
      <w:tblPr>
        <w:tblW w:type="dxa" w:w="958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88"/>
        <w:gridCol w:w="1247"/>
        <w:gridCol w:w="1701"/>
        <w:gridCol w:w="1361"/>
        <w:gridCol w:w="1021"/>
        <w:gridCol w:w="1191"/>
        <w:gridCol w:w="1474"/>
      </w:tblGrid>
      <w:tr>
        <w:trPr>
          <w:tblHeader w:val="true"/>
        </w:trPr>
        <w:tc>
          <w:tcPr>
            <w:tcW w:type="dxa" w:w="1588"/>
            <w:vAlign w:val="center"/>
          </w:tcPr>
          <w:p>
            <w:pPr>
              <w:keepNext/>
              <w:spacing w:before="0" w:after="0" w:line="240" w:lineRule="auto"/>
              <w:jc w:val="center"/>
            </w:pPr>
            <w:r/>
            <w:r>
              <w:rPr>
                <w:rFonts w:ascii="Times New Roman" w:hAnsi="Times New Roman" w:eastAsia="宋体"/>
                <w:b/>
                <w:sz w:val="17"/>
              </w:rPr>
              <w:t>储罐</w:t>
            </w:r>
          </w:p>
        </w:tc>
        <w:tc>
          <w:tcPr>
            <w:tcW w:type="dxa" w:w="1247"/>
            <w:vAlign w:val="center"/>
          </w:tcPr>
          <w:p>
            <w:pPr>
              <w:keepNext/>
              <w:spacing w:before="0" w:after="0" w:line="240" w:lineRule="auto"/>
              <w:jc w:val="center"/>
            </w:pPr>
            <w:r/>
            <w:r>
              <w:rPr>
                <w:rFonts w:ascii="Times New Roman" w:hAnsi="Times New Roman" w:eastAsia="宋体"/>
                <w:b/>
                <w:sz w:val="17"/>
              </w:rPr>
              <w:t>保护面积/m²</w:t>
            </w:r>
          </w:p>
        </w:tc>
        <w:tc>
          <w:tcPr>
            <w:tcW w:type="dxa" w:w="1701"/>
            <w:vAlign w:val="center"/>
          </w:tcPr>
          <w:p>
            <w:pPr>
              <w:keepNext/>
              <w:spacing w:before="0" w:after="0" w:line="240" w:lineRule="auto"/>
              <w:jc w:val="center"/>
            </w:pPr>
            <w:r/>
            <w:r>
              <w:rPr>
                <w:rFonts w:ascii="Times New Roman" w:hAnsi="Times New Roman" w:eastAsia="宋体"/>
                <w:b/>
                <w:sz w:val="17"/>
              </w:rPr>
              <w:t>供给强度/[L/(min·m²)]</w:t>
            </w:r>
          </w:p>
        </w:tc>
        <w:tc>
          <w:tcPr>
            <w:tcW w:type="dxa" w:w="1361"/>
            <w:vAlign w:val="center"/>
          </w:tcPr>
          <w:p>
            <w:pPr>
              <w:keepNext/>
              <w:spacing w:before="0" w:after="0" w:line="240" w:lineRule="auto"/>
              <w:jc w:val="center"/>
            </w:pPr>
            <w:r/>
            <w:r>
              <w:rPr>
                <w:rFonts w:ascii="Times New Roman" w:hAnsi="Times New Roman" w:eastAsia="宋体"/>
                <w:b/>
                <w:sz w:val="17"/>
              </w:rPr>
              <w:t>罐内流量/(L/s)</w:t>
            </w:r>
          </w:p>
        </w:tc>
        <w:tc>
          <w:tcPr>
            <w:tcW w:type="dxa" w:w="1021"/>
            <w:vAlign w:val="center"/>
          </w:tcPr>
          <w:p>
            <w:pPr>
              <w:keepNext/>
              <w:spacing w:before="0" w:after="0" w:line="240" w:lineRule="auto"/>
              <w:jc w:val="center"/>
            </w:pPr>
            <w:r/>
            <w:r>
              <w:rPr>
                <w:rFonts w:ascii="Times New Roman" w:hAnsi="Times New Roman" w:eastAsia="宋体"/>
                <w:b/>
                <w:sz w:val="17"/>
              </w:rPr>
              <w:t>时间/min</w:t>
            </w:r>
          </w:p>
        </w:tc>
        <w:tc>
          <w:tcPr>
            <w:tcW w:type="dxa" w:w="1191"/>
            <w:vAlign w:val="center"/>
          </w:tcPr>
          <w:p>
            <w:pPr>
              <w:keepNext/>
              <w:spacing w:before="0" w:after="0" w:line="240" w:lineRule="auto"/>
              <w:jc w:val="center"/>
            </w:pPr>
            <w:r/>
            <w:r>
              <w:rPr>
                <w:rFonts w:ascii="Times New Roman" w:hAnsi="Times New Roman" w:eastAsia="宋体"/>
                <w:b/>
                <w:sz w:val="17"/>
              </w:rPr>
              <w:t>辅助枪/(L/s)</w:t>
            </w:r>
          </w:p>
        </w:tc>
        <w:tc>
          <w:tcPr>
            <w:tcW w:type="dxa" w:w="1474"/>
            <w:vAlign w:val="center"/>
          </w:tcPr>
          <w:p>
            <w:pPr>
              <w:keepNext/>
              <w:spacing w:before="0" w:after="0" w:line="240" w:lineRule="auto"/>
              <w:jc w:val="center"/>
            </w:pPr>
            <w:r/>
            <w:r>
              <w:rPr>
                <w:rFonts w:ascii="Times New Roman" w:hAnsi="Times New Roman" w:eastAsia="宋体"/>
                <w:b/>
                <w:sz w:val="17"/>
              </w:rPr>
              <w:t>混合液用量/m³</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7"/>
              </w:rPr>
              <w:t>汽油内浮顶罐</w:t>
            </w:r>
          </w:p>
        </w:tc>
        <w:tc>
          <w:tcPr>
            <w:tcW w:type="dxa" w:w="1247"/>
            <w:vAlign w:val="center"/>
          </w:tcPr>
          <w:p>
            <w:pPr>
              <w:spacing w:before="0" w:after="0" w:line="240" w:lineRule="auto"/>
              <w:jc w:val="center"/>
            </w:pPr>
            <w:r/>
            <w:r>
              <w:rPr>
                <w:rFonts w:ascii="Times New Roman" w:hAnsi="Times New Roman" w:eastAsia="宋体"/>
                <w:b w:val="0"/>
                <w:sz w:val="17"/>
              </w:rPr>
              <w:t>40.52</w:t>
            </w:r>
          </w:p>
        </w:tc>
        <w:tc>
          <w:tcPr>
            <w:tcW w:type="dxa" w:w="1701"/>
            <w:vAlign w:val="center"/>
          </w:tcPr>
          <w:p>
            <w:pPr>
              <w:spacing w:before="0" w:after="0" w:line="240" w:lineRule="auto"/>
              <w:jc w:val="center"/>
            </w:pPr>
            <w:r/>
            <w:r>
              <w:rPr>
                <w:rFonts w:ascii="Times New Roman" w:hAnsi="Times New Roman" w:eastAsia="宋体"/>
                <w:b w:val="0"/>
                <w:sz w:val="17"/>
              </w:rPr>
              <w:t>12.5</w:t>
            </w:r>
          </w:p>
        </w:tc>
        <w:tc>
          <w:tcPr>
            <w:tcW w:type="dxa" w:w="1361"/>
            <w:vAlign w:val="center"/>
          </w:tcPr>
          <w:p>
            <w:pPr>
              <w:spacing w:before="0" w:after="0" w:line="240" w:lineRule="auto"/>
              <w:jc w:val="center"/>
            </w:pPr>
            <w:r/>
            <w:r>
              <w:rPr>
                <w:rFonts w:ascii="Times New Roman" w:hAnsi="Times New Roman" w:eastAsia="宋体"/>
                <w:b w:val="0"/>
                <w:sz w:val="17"/>
              </w:rPr>
              <w:t>8.44</w:t>
            </w:r>
          </w:p>
        </w:tc>
        <w:tc>
          <w:tcPr>
            <w:tcW w:type="dxa" w:w="1021"/>
            <w:vAlign w:val="center"/>
          </w:tcPr>
          <w:p>
            <w:pPr>
              <w:spacing w:before="0" w:after="0" w:line="240" w:lineRule="auto"/>
              <w:jc w:val="center"/>
            </w:pPr>
            <w:r/>
            <w:r>
              <w:rPr>
                <w:rFonts w:ascii="Times New Roman" w:hAnsi="Times New Roman" w:eastAsia="宋体"/>
                <w:b w:val="0"/>
                <w:sz w:val="17"/>
              </w:rPr>
              <w:t>60</w:t>
            </w:r>
          </w:p>
        </w:tc>
        <w:tc>
          <w:tcPr>
            <w:tcW w:type="dxa" w:w="1191"/>
            <w:vAlign w:val="center"/>
          </w:tcPr>
          <w:p>
            <w:pPr>
              <w:spacing w:before="0" w:after="0" w:line="240" w:lineRule="auto"/>
              <w:jc w:val="center"/>
            </w:pPr>
            <w:r/>
            <w:r>
              <w:rPr>
                <w:rFonts w:ascii="Times New Roman" w:hAnsi="Times New Roman" w:eastAsia="宋体"/>
                <w:b w:val="0"/>
                <w:sz w:val="17"/>
              </w:rPr>
              <w:t>8.00</w:t>
            </w:r>
          </w:p>
        </w:tc>
        <w:tc>
          <w:tcPr>
            <w:tcW w:type="dxa" w:w="1474"/>
            <w:vAlign w:val="center"/>
          </w:tcPr>
          <w:p>
            <w:pPr>
              <w:spacing w:before="0" w:after="0" w:line="240" w:lineRule="auto"/>
              <w:jc w:val="center"/>
            </w:pPr>
            <w:r/>
            <w:r>
              <w:rPr>
                <w:rFonts w:ascii="Times New Roman" w:hAnsi="Times New Roman" w:eastAsia="宋体"/>
                <w:b w:val="0"/>
                <w:sz w:val="17"/>
              </w:rPr>
              <w:t>39.99</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7"/>
              </w:rPr>
              <w:t>柴油固定顶罐</w:t>
            </w:r>
          </w:p>
        </w:tc>
        <w:tc>
          <w:tcPr>
            <w:tcW w:type="dxa" w:w="1247"/>
            <w:vAlign w:val="center"/>
          </w:tcPr>
          <w:p>
            <w:pPr>
              <w:spacing w:before="0" w:after="0" w:line="240" w:lineRule="auto"/>
              <w:jc w:val="center"/>
            </w:pPr>
            <w:r/>
            <w:r>
              <w:rPr>
                <w:rFonts w:ascii="Times New Roman" w:hAnsi="Times New Roman" w:eastAsia="宋体"/>
                <w:b w:val="0"/>
                <w:sz w:val="17"/>
              </w:rPr>
              <w:t>452.39</w:t>
            </w:r>
          </w:p>
        </w:tc>
        <w:tc>
          <w:tcPr>
            <w:tcW w:type="dxa" w:w="1701"/>
            <w:vAlign w:val="center"/>
          </w:tcPr>
          <w:p>
            <w:pPr>
              <w:spacing w:before="0" w:after="0" w:line="240" w:lineRule="auto"/>
              <w:jc w:val="center"/>
            </w:pPr>
            <w:r/>
            <w:r>
              <w:rPr>
                <w:rFonts w:ascii="Times New Roman" w:hAnsi="Times New Roman" w:eastAsia="宋体"/>
                <w:b w:val="0"/>
                <w:sz w:val="17"/>
              </w:rPr>
              <w:t>6.0</w:t>
            </w:r>
          </w:p>
        </w:tc>
        <w:tc>
          <w:tcPr>
            <w:tcW w:type="dxa" w:w="1361"/>
            <w:vAlign w:val="center"/>
          </w:tcPr>
          <w:p>
            <w:pPr>
              <w:spacing w:before="0" w:after="0" w:line="240" w:lineRule="auto"/>
              <w:jc w:val="center"/>
            </w:pPr>
            <w:r/>
            <w:r>
              <w:rPr>
                <w:rFonts w:ascii="Times New Roman" w:hAnsi="Times New Roman" w:eastAsia="宋体"/>
                <w:b w:val="0"/>
                <w:sz w:val="17"/>
              </w:rPr>
              <w:t>45.24</w:t>
            </w:r>
          </w:p>
        </w:tc>
        <w:tc>
          <w:tcPr>
            <w:tcW w:type="dxa" w:w="1021"/>
            <w:vAlign w:val="center"/>
          </w:tcPr>
          <w:p>
            <w:pPr>
              <w:spacing w:before="0" w:after="0" w:line="240" w:lineRule="auto"/>
              <w:jc w:val="center"/>
            </w:pPr>
            <w:r/>
            <w:r>
              <w:rPr>
                <w:rFonts w:ascii="Times New Roman" w:hAnsi="Times New Roman" w:eastAsia="宋体"/>
                <w:b w:val="0"/>
                <w:sz w:val="17"/>
              </w:rPr>
              <w:t>30</w:t>
            </w:r>
          </w:p>
        </w:tc>
        <w:tc>
          <w:tcPr>
            <w:tcW w:type="dxa" w:w="1191"/>
            <w:vAlign w:val="center"/>
          </w:tcPr>
          <w:p>
            <w:pPr>
              <w:spacing w:before="0" w:after="0" w:line="240" w:lineRule="auto"/>
              <w:jc w:val="center"/>
            </w:pPr>
            <w:r/>
            <w:r>
              <w:rPr>
                <w:rFonts w:ascii="Times New Roman" w:hAnsi="Times New Roman" w:eastAsia="宋体"/>
                <w:b w:val="0"/>
                <w:sz w:val="17"/>
              </w:rPr>
              <w:t>8.00</w:t>
            </w:r>
          </w:p>
        </w:tc>
        <w:tc>
          <w:tcPr>
            <w:tcW w:type="dxa" w:w="1474"/>
            <w:vAlign w:val="center"/>
          </w:tcPr>
          <w:p>
            <w:pPr>
              <w:spacing w:before="0" w:after="0" w:line="240" w:lineRule="auto"/>
              <w:jc w:val="center"/>
            </w:pPr>
            <w:r/>
            <w:r>
              <w:rPr>
                <w:rFonts w:ascii="Times New Roman" w:hAnsi="Times New Roman" w:eastAsia="宋体"/>
                <w:b w:val="0"/>
                <w:sz w:val="17"/>
              </w:rPr>
              <w:t>91.03</w:t>
            </w:r>
          </w:p>
        </w:tc>
      </w:tr>
    </w:tbl>
    <w:p>
      <w:pPr>
        <w:spacing w:before="0" w:after="0"/>
      </w:pPr>
    </w:p>
    <w:p>
      <w:pPr>
        <w:keepNext w:val="0"/>
        <w:keepLines/>
        <w:spacing w:line="360" w:lineRule="auto" w:before="0" w:after="0"/>
        <w:ind w:firstLine="480"/>
        <w:jc w:val="both"/>
      </w:pPr>
      <w:r>
        <w:rPr>
          <w:rFonts w:ascii="Times New Roman" w:hAnsi="Times New Roman" w:eastAsia="宋体"/>
          <w:sz w:val="24"/>
        </w:rPr>
        <w:t>注：表中混合液用量为罐内用量与辅助泡沫枪用量之和，泡沫液储量计算另计11.19 m³管道充填量。</w:t>
      </w:r>
    </w:p>
    <w:p>
      <w:pPr>
        <w:pStyle w:val="9"/>
        <w:keepNext/>
        <w:spacing w:before="60" w:after="60" w:line="360" w:lineRule="auto"/>
        <w:ind w:firstLine="480"/>
        <w:jc w:val="left"/>
      </w:pPr>
      <w:r>
        <w:rPr>
          <w:rFonts w:ascii="Times New Roman" w:hAnsi="Times New Roman" w:eastAsia="黑体"/>
          <w:b/>
          <w:sz w:val="28"/>
        </w:rPr>
        <w:t>7.2.2 消防给水系统</w:t>
      </w:r>
    </w:p>
    <w:p>
      <w:pPr>
        <w:keepNext w:val="0"/>
        <w:keepLines/>
        <w:spacing w:line="360" w:lineRule="auto" w:before="0" w:after="0"/>
        <w:ind w:firstLine="480"/>
        <w:jc w:val="both"/>
      </w:pPr>
      <w:r>
        <w:rPr>
          <w:rFonts w:ascii="Times New Roman" w:hAnsi="Times New Roman" w:eastAsia="宋体"/>
          <w:sz w:val="24"/>
        </w:rPr>
        <w:t>本油库为二级石油库，按GB 50074—2014第12.2.1条设置独立消防给水系统。储罐区消防给水管网采用环状布置，设置2条独立进水管，每条进水管均能通过全部消防用水量。储罐采用固定式消防冷却水系统。</w:t>
      </w:r>
    </w:p>
    <w:p>
      <w:pPr>
        <w:keepNext/>
        <w:keepLines/>
        <w:spacing w:line="360" w:lineRule="auto" w:before="0" w:after="0"/>
        <w:ind w:firstLine="480"/>
        <w:jc w:val="both"/>
      </w:pPr>
      <w:r>
        <w:rPr>
          <w:rFonts w:ascii="Times New Roman" w:hAnsi="Times New Roman" w:eastAsia="宋体"/>
          <w:b/>
          <w:sz w:val="24"/>
        </w:rPr>
        <w:t>（1）储罐冷却水量</w:t>
      </w:r>
    </w:p>
    <w:p>
      <w:pPr>
        <w:keepNext w:val="0"/>
        <w:keepLines/>
        <w:spacing w:line="360" w:lineRule="auto" w:before="0" w:after="0"/>
        <w:ind w:firstLine="480"/>
        <w:jc w:val="both"/>
      </w:pPr>
      <w:r>
        <w:rPr>
          <w:rFonts w:ascii="Times New Roman" w:hAnsi="Times New Roman" w:eastAsia="宋体"/>
          <w:sz w:val="24"/>
        </w:rPr>
        <w:t>单座储罐罐壁外表面积按式（7-23）计算：</w:t>
      </w:r>
    </w:p>
    <w:p>
      <w:pPr>
        <w:tabs>
          <w:tab w:pos="4450" w:val="center"/>
          <w:tab w:pos="8901" w:val="right"/>
        </w:tabs>
        <w:spacing w:before="40" w:after="40" w:line="276" w:lineRule="auto"/>
        <w:ind w:firstLine="0"/>
      </w:pPr>
      <w:r>
        <w:tab/>
      </w:r>
      <m:oMath>
        <m:sSub>
          <m:e>
            <m:r>
              <m:t>A</m:t>
            </m:r>
          </m:e>
          <m:sub>
            <m:r>
              <m:t>s</m:t>
            </m:r>
          </m:sub>
        </m:sSub>
        <m:r>
          <m:t>=πDH=π×24×12=904.78</m:t>
        </m:r>
        <m:r>
          <m:rPr>
            <m:sty m:val="p"/>
          </m:rPr>
          <m:t> </m:t>
        </m:r>
        <m:sSup>
          <m:e>
            <m:r>
              <m:rPr>
                <m:sty m:val="p"/>
              </m:rPr>
              <m:t>m</m:t>
            </m:r>
          </m:e>
          <m:sup>
            <m:r>
              <m:t>2</m:t>
            </m:r>
          </m:sup>
        </m:sSup>
      </m:oMath>
      <w:r>
        <w:rPr>
          <w:rFonts w:ascii="Times New Roman" w:hAnsi="Times New Roman" w:eastAsia="宋体"/>
          <w:sz w:val="21"/>
        </w:rPr>
        <w:tab/>
        <w:t>(7-23)</w:t>
      </w:r>
    </w:p>
    <w:p>
      <w:pPr>
        <w:keepNext w:val="0"/>
        <w:keepLines/>
        <w:spacing w:line="360" w:lineRule="auto" w:before="0" w:after="0"/>
        <w:ind w:firstLine="480"/>
        <w:jc w:val="both"/>
      </w:pPr>
      <w:r>
        <w:rPr>
          <w:rFonts w:ascii="Times New Roman" w:hAnsi="Times New Roman" w:eastAsia="宋体"/>
          <w:sz w:val="24"/>
        </w:rPr>
        <w:t>按GB 50074—2014表12.2.8，汽油内浮顶罐着火时对着火罐全部罐壁按2.0 L/(min·m²)冷却；本设计内浮顶为金属浮盘，按第12.2.7条，相邻罐不计冷却。汽油罐冷却水量为：</w:t>
      </w:r>
    </w:p>
    <w:p>
      <w:pPr>
        <w:tabs>
          <w:tab w:pos="4450" w:val="center"/>
          <w:tab w:pos="8901" w:val="right"/>
        </w:tabs>
        <w:spacing w:before="40" w:after="40" w:line="276" w:lineRule="auto"/>
        <w:ind w:firstLine="0"/>
      </w:pPr>
      <w:r>
        <w:tab/>
      </w:r>
      <m:oMath>
        <m:sSub>
          <m:e>
            <m:r>
              <m:t>Q</m:t>
            </m:r>
          </m:e>
          <m:sub>
            <m:r>
              <m:t>c,G</m:t>
            </m:r>
          </m:sub>
        </m:sSub>
        <m:r>
          <m:t>=</m:t>
        </m:r>
        <m:f>
          <m:fPr>
            <m:type m:val="bar"/>
          </m:fPr>
          <m:num>
            <m:r>
              <m:t>2.0×904.78</m:t>
            </m:r>
          </m:num>
          <m:den>
            <m:r>
              <m:t>60</m:t>
            </m:r>
          </m:den>
        </m:f>
        <m:r>
          <m:t>=30.16</m:t>
        </m:r>
        <m:r>
          <m:rPr>
            <m:sty m:val="p"/>
          </m:rPr>
          <m:t> </m:t>
        </m:r>
        <m:f>
          <m:fPr>
            <m:type m:val="lin"/>
          </m:fPr>
          <m:num>
            <m:r>
              <m:rPr>
                <m:sty m:val="p"/>
              </m:rPr>
              <m:t>L</m:t>
            </m:r>
          </m:num>
          <m:den>
            <m:r>
              <m:rPr>
                <m:sty m:val="p"/>
              </m:rPr>
              <m:t>s</m:t>
            </m:r>
          </m:den>
        </m:f>
      </m:oMath>
      <w:r>
        <w:rPr>
          <w:rFonts w:ascii="Times New Roman" w:hAnsi="Times New Roman" w:eastAsia="宋体"/>
          <w:sz w:val="21"/>
        </w:rPr>
        <w:tab/>
        <w:t>(7-24)</w:t>
      </w:r>
    </w:p>
    <w:p>
      <w:pPr>
        <w:keepNext w:val="0"/>
        <w:keepLines/>
        <w:spacing w:line="360" w:lineRule="auto" w:before="0" w:after="0"/>
        <w:ind w:firstLine="480"/>
        <w:jc w:val="both"/>
      </w:pPr>
      <w:r>
        <w:rPr>
          <w:rFonts w:ascii="Times New Roman" w:hAnsi="Times New Roman" w:eastAsia="宋体"/>
          <w:sz w:val="24"/>
        </w:rPr>
        <w:t>柴油固定顶罐着火时，着火罐全部罐壁按2.5 L/(min·m²)冷却，距着火罐1.5D范围内的相邻柴油罐按一半罐壁面积、2.0 L/(min·m²)冷却。着火罐和相邻罐冷却水量分别为：</w:t>
      </w:r>
    </w:p>
    <w:p>
      <w:pPr>
        <w:tabs>
          <w:tab w:pos="4450" w:val="center"/>
          <w:tab w:pos="8901" w:val="right"/>
        </w:tabs>
        <w:spacing w:before="40" w:after="40" w:line="276" w:lineRule="auto"/>
        <w:ind w:firstLine="0"/>
      </w:pPr>
      <w:r>
        <w:tab/>
      </w:r>
      <m:oMath>
        <m:sSub>
          <m:e>
            <m:r>
              <m:t>Q</m:t>
            </m:r>
          </m:e>
          <m:sub>
            <m:r>
              <m:t>c,D</m:t>
            </m:r>
          </m:sub>
        </m:sSub>
        <m:r>
          <m:t>=</m:t>
        </m:r>
        <m:f>
          <m:fPr>
            <m:type m:val="bar"/>
          </m:fPr>
          <m:num>
            <m:r>
              <m:t>2.5×904.78</m:t>
            </m:r>
          </m:num>
          <m:den>
            <m:r>
              <m:t>60</m:t>
            </m:r>
          </m:den>
        </m:f>
        <m:r>
          <m:t>=37.70</m:t>
        </m:r>
        <m:r>
          <m:rPr>
            <m:sty m:val="p"/>
          </m:rPr>
          <m:t> </m:t>
        </m:r>
        <m:f>
          <m:fPr>
            <m:type m:val="lin"/>
          </m:fPr>
          <m:num>
            <m:r>
              <m:rPr>
                <m:sty m:val="p"/>
              </m:rPr>
              <m:t>L</m:t>
            </m:r>
          </m:num>
          <m:den>
            <m:r>
              <m:rPr>
                <m:sty m:val="p"/>
              </m:rPr>
              <m:t>s</m:t>
            </m:r>
          </m:den>
        </m:f>
      </m:oMath>
      <w:r>
        <w:rPr>
          <w:rFonts w:ascii="Times New Roman" w:hAnsi="Times New Roman" w:eastAsia="宋体"/>
          <w:sz w:val="21"/>
        </w:rPr>
        <w:tab/>
        <w:t>(7-25)</w:t>
      </w:r>
    </w:p>
    <w:p>
      <w:pPr>
        <w:tabs>
          <w:tab w:pos="4450" w:val="center"/>
          <w:tab w:pos="8901" w:val="right"/>
        </w:tabs>
        <w:spacing w:before="40" w:after="40" w:line="276" w:lineRule="auto"/>
        <w:ind w:firstLine="0"/>
      </w:pPr>
      <w:r>
        <w:tab/>
      </w:r>
      <m:oMath>
        <m:sSub>
          <m:e>
            <m:r>
              <m:t>Q</m:t>
            </m:r>
          </m:e>
          <m:sub>
            <m:r>
              <m:t>c,a</m:t>
            </m:r>
          </m:sub>
        </m:sSub>
        <m:r>
          <m:t>=</m:t>
        </m:r>
        <m:f>
          <m:fPr>
            <m:type m:val="bar"/>
          </m:fPr>
          <m:num>
            <m:r>
              <m:t>0.5×2.0×904.78</m:t>
            </m:r>
          </m:num>
          <m:den>
            <m:r>
              <m:t>60</m:t>
            </m:r>
          </m:den>
        </m:f>
        <m:r>
          <m:t>=15.08</m:t>
        </m:r>
        <m:r>
          <m:rPr>
            <m:sty m:val="p"/>
          </m:rPr>
          <m:t> </m:t>
        </m:r>
        <m:f>
          <m:fPr>
            <m:type m:val="lin"/>
          </m:fPr>
          <m:num>
            <m:r>
              <m:rPr>
                <m:sty m:val="p"/>
              </m:rPr>
              <m:t>L</m:t>
            </m:r>
          </m:num>
          <m:den>
            <m:r>
              <m:rPr>
                <m:sty m:val="p"/>
              </m:rPr>
              <m:t>s</m:t>
            </m:r>
          </m:den>
        </m:f>
      </m:oMath>
      <w:r>
        <w:rPr>
          <w:rFonts w:ascii="Times New Roman" w:hAnsi="Times New Roman" w:eastAsia="宋体"/>
          <w:sz w:val="21"/>
        </w:rPr>
        <w:tab/>
        <w:t>(7-26)</w:t>
      </w:r>
    </w:p>
    <w:p>
      <w:pPr>
        <w:keepNext w:val="0"/>
        <w:keepLines/>
        <w:spacing w:line="360" w:lineRule="auto" w:before="0" w:after="0"/>
        <w:ind w:firstLine="480"/>
        <w:jc w:val="both"/>
      </w:pPr>
      <w:r>
        <w:rPr>
          <w:rFonts w:ascii="Times New Roman" w:hAnsi="Times New Roman" w:eastAsia="宋体"/>
          <w:sz w:val="24"/>
        </w:rPr>
        <w:t>储罐区最大消防冷却水量为：</w:t>
      </w:r>
    </w:p>
    <w:p>
      <w:pPr>
        <w:tabs>
          <w:tab w:pos="4450" w:val="center"/>
          <w:tab w:pos="8901" w:val="right"/>
        </w:tabs>
        <w:spacing w:before="40" w:after="40" w:line="276" w:lineRule="auto"/>
        <w:ind w:firstLine="0"/>
      </w:pPr>
      <w:r>
        <w:tab/>
      </w:r>
      <m:oMath>
        <m:sSub>
          <m:e>
            <m:r>
              <m:t>Q</m:t>
            </m:r>
          </m:e>
          <m:sub>
            <m:r>
              <m:t>c,max</m:t>
            </m:r>
          </m:sub>
        </m:sSub>
        <m:r>
          <m:t>=37.70+15.08=52.78</m:t>
        </m:r>
        <m:r>
          <m:rPr>
            <m:sty m:val="p"/>
          </m:rPr>
          <m:t> </m:t>
        </m:r>
        <m:f>
          <m:fPr>
            <m:type m:val="lin"/>
          </m:fPr>
          <m:num>
            <m:r>
              <m:rPr>
                <m:sty m:val="p"/>
              </m:rPr>
              <m:t>L</m:t>
            </m:r>
          </m:num>
          <m:den>
            <m:r>
              <m:rPr>
                <m:sty m:val="p"/>
              </m:rPr>
              <m:t>s</m:t>
            </m:r>
          </m:den>
        </m:f>
      </m:oMath>
      <w:r>
        <w:rPr>
          <w:rFonts w:ascii="Times New Roman" w:hAnsi="Times New Roman" w:eastAsia="宋体"/>
          <w:sz w:val="21"/>
        </w:rPr>
        <w:tab/>
        <w:t>(7-27)</w:t>
      </w:r>
    </w:p>
    <w:p>
      <w:pPr>
        <w:pStyle w:val="6"/>
        <w:keepNext/>
        <w:pageBreakBefore w:val="0"/>
        <w:spacing w:before="120" w:after="60"/>
        <w:jc w:val="center"/>
      </w:pPr>
      <w:r>
        <w:rPr>
          <w:rFonts w:ascii="Times New Roman" w:hAnsi="Times New Roman" w:eastAsia="宋体"/>
          <w:b/>
          <w:sz w:val="22"/>
        </w:rPr>
        <w:t>表7-4 储罐消防冷却水量校核</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438"/>
        <w:gridCol w:w="1758"/>
        <w:gridCol w:w="1758"/>
        <w:gridCol w:w="1758"/>
        <w:gridCol w:w="1191"/>
      </w:tblGrid>
      <w:tr>
        <w:trPr>
          <w:tblHeader w:val="true"/>
        </w:trPr>
        <w:tc>
          <w:tcPr>
            <w:tcW w:type="dxa" w:w="2438"/>
            <w:vAlign w:val="center"/>
          </w:tcPr>
          <w:p>
            <w:pPr>
              <w:keepNext/>
              <w:spacing w:before="0" w:after="0" w:line="252" w:lineRule="auto"/>
              <w:jc w:val="center"/>
            </w:pPr>
            <w:r/>
            <w:r>
              <w:rPr>
                <w:rFonts w:ascii="Times New Roman" w:hAnsi="Times New Roman" w:eastAsia="宋体"/>
                <w:b/>
                <w:sz w:val="18"/>
              </w:rPr>
              <w:t>火灾工况</w:t>
            </w:r>
          </w:p>
        </w:tc>
        <w:tc>
          <w:tcPr>
            <w:tcW w:type="dxa" w:w="1758"/>
            <w:vAlign w:val="center"/>
          </w:tcPr>
          <w:p>
            <w:pPr>
              <w:keepNext/>
              <w:spacing w:before="0" w:after="0" w:line="252" w:lineRule="auto"/>
              <w:jc w:val="center"/>
            </w:pPr>
            <w:r/>
            <w:r>
              <w:rPr>
                <w:rFonts w:ascii="Times New Roman" w:hAnsi="Times New Roman" w:eastAsia="宋体"/>
                <w:b/>
                <w:sz w:val="18"/>
              </w:rPr>
              <w:t>着火罐/(L/s)</w:t>
            </w:r>
          </w:p>
        </w:tc>
        <w:tc>
          <w:tcPr>
            <w:tcW w:type="dxa" w:w="1758"/>
            <w:vAlign w:val="center"/>
          </w:tcPr>
          <w:p>
            <w:pPr>
              <w:keepNext/>
              <w:spacing w:before="0" w:after="0" w:line="252" w:lineRule="auto"/>
              <w:jc w:val="center"/>
            </w:pPr>
            <w:r/>
            <w:r>
              <w:rPr>
                <w:rFonts w:ascii="Times New Roman" w:hAnsi="Times New Roman" w:eastAsia="宋体"/>
                <w:b/>
                <w:sz w:val="18"/>
              </w:rPr>
              <w:t>相邻罐/(L/s)</w:t>
            </w:r>
          </w:p>
        </w:tc>
        <w:tc>
          <w:tcPr>
            <w:tcW w:type="dxa" w:w="1758"/>
            <w:vAlign w:val="center"/>
          </w:tcPr>
          <w:p>
            <w:pPr>
              <w:keepNext/>
              <w:spacing w:before="0" w:after="0" w:line="252" w:lineRule="auto"/>
              <w:jc w:val="center"/>
            </w:pPr>
            <w:r/>
            <w:r>
              <w:rPr>
                <w:rFonts w:ascii="Times New Roman" w:hAnsi="Times New Roman" w:eastAsia="宋体"/>
                <w:b/>
                <w:sz w:val="18"/>
              </w:rPr>
              <w:t>合计/(L/s)</w:t>
            </w:r>
          </w:p>
        </w:tc>
        <w:tc>
          <w:tcPr>
            <w:tcW w:type="dxa" w:w="1191"/>
            <w:vAlign w:val="center"/>
          </w:tcPr>
          <w:p>
            <w:pPr>
              <w:keepNext/>
              <w:spacing w:before="0" w:after="0" w:line="252" w:lineRule="auto"/>
              <w:jc w:val="center"/>
            </w:pPr>
            <w:r/>
            <w:r>
              <w:rPr>
                <w:rFonts w:ascii="Times New Roman" w:hAnsi="Times New Roman" w:eastAsia="宋体"/>
                <w:b/>
                <w:sz w:val="18"/>
              </w:rPr>
              <w:t>供给时间/h</w:t>
            </w:r>
          </w:p>
        </w:tc>
      </w:tr>
      <w:tr>
        <w:trPr>
          <w:cantSplit w:val="1"/>
        </w:trPr>
        <w:tc>
          <w:tcPr>
            <w:tcW w:type="dxa" w:w="2438"/>
            <w:vAlign w:val="center"/>
          </w:tcPr>
          <w:p>
            <w:pPr>
              <w:spacing w:before="0" w:after="0" w:line="252" w:lineRule="auto"/>
              <w:jc w:val="center"/>
            </w:pPr>
            <w:r/>
            <w:r>
              <w:rPr>
                <w:rFonts w:ascii="Times New Roman" w:hAnsi="Times New Roman" w:eastAsia="宋体"/>
                <w:b w:val="0"/>
                <w:sz w:val="18"/>
              </w:rPr>
              <w:t>汽油内浮顶罐</w:t>
            </w:r>
          </w:p>
        </w:tc>
        <w:tc>
          <w:tcPr>
            <w:tcW w:type="dxa" w:w="1758"/>
            <w:vAlign w:val="center"/>
          </w:tcPr>
          <w:p>
            <w:pPr>
              <w:spacing w:before="0" w:after="0" w:line="252" w:lineRule="auto"/>
              <w:jc w:val="center"/>
            </w:pPr>
            <w:r/>
            <w:r>
              <w:rPr>
                <w:rFonts w:ascii="Times New Roman" w:hAnsi="Times New Roman" w:eastAsia="宋体"/>
                <w:b w:val="0"/>
                <w:sz w:val="18"/>
              </w:rPr>
              <w:t>30.16</w:t>
            </w:r>
          </w:p>
        </w:tc>
        <w:tc>
          <w:tcPr>
            <w:tcW w:type="dxa" w:w="1758"/>
            <w:vAlign w:val="center"/>
          </w:tcPr>
          <w:p>
            <w:pPr>
              <w:spacing w:before="0" w:after="0" w:line="252" w:lineRule="auto"/>
              <w:jc w:val="center"/>
            </w:pPr>
            <w:r/>
            <w:r>
              <w:rPr>
                <w:rFonts w:ascii="Times New Roman" w:hAnsi="Times New Roman" w:eastAsia="宋体"/>
                <w:b w:val="0"/>
                <w:sz w:val="18"/>
              </w:rPr>
              <w:t>0</w:t>
            </w:r>
          </w:p>
        </w:tc>
        <w:tc>
          <w:tcPr>
            <w:tcW w:type="dxa" w:w="1758"/>
            <w:vAlign w:val="center"/>
          </w:tcPr>
          <w:p>
            <w:pPr>
              <w:spacing w:before="0" w:after="0" w:line="252" w:lineRule="auto"/>
              <w:jc w:val="center"/>
            </w:pPr>
            <w:r/>
            <w:r>
              <w:rPr>
                <w:rFonts w:ascii="Times New Roman" w:hAnsi="Times New Roman" w:eastAsia="宋体"/>
                <w:b w:val="0"/>
                <w:sz w:val="18"/>
              </w:rPr>
              <w:t>30.16</w:t>
            </w:r>
          </w:p>
        </w:tc>
        <w:tc>
          <w:tcPr>
            <w:tcW w:type="dxa" w:w="1191"/>
            <w:vAlign w:val="center"/>
          </w:tcPr>
          <w:p>
            <w:pPr>
              <w:spacing w:before="0" w:after="0" w:line="252" w:lineRule="auto"/>
              <w:jc w:val="center"/>
            </w:pPr>
            <w:r/>
            <w:r>
              <w:rPr>
                <w:rFonts w:ascii="Times New Roman" w:hAnsi="Times New Roman" w:eastAsia="宋体"/>
                <w:b w:val="0"/>
                <w:sz w:val="18"/>
              </w:rPr>
              <w:t>6</w:t>
            </w:r>
          </w:p>
        </w:tc>
      </w:tr>
      <w:tr>
        <w:trPr>
          <w:cantSplit w:val="1"/>
        </w:trPr>
        <w:tc>
          <w:tcPr>
            <w:tcW w:type="dxa" w:w="2438"/>
            <w:vAlign w:val="center"/>
          </w:tcPr>
          <w:p>
            <w:pPr>
              <w:spacing w:before="0" w:after="0" w:line="252" w:lineRule="auto"/>
              <w:jc w:val="center"/>
            </w:pPr>
            <w:r/>
            <w:r>
              <w:rPr>
                <w:rFonts w:ascii="Times New Roman" w:hAnsi="Times New Roman" w:eastAsia="宋体"/>
                <w:b w:val="0"/>
                <w:sz w:val="18"/>
              </w:rPr>
              <w:t>柴油固定顶罐</w:t>
            </w:r>
          </w:p>
        </w:tc>
        <w:tc>
          <w:tcPr>
            <w:tcW w:type="dxa" w:w="1758"/>
            <w:vAlign w:val="center"/>
          </w:tcPr>
          <w:p>
            <w:pPr>
              <w:spacing w:before="0" w:after="0" w:line="252" w:lineRule="auto"/>
              <w:jc w:val="center"/>
            </w:pPr>
            <w:r/>
            <w:r>
              <w:rPr>
                <w:rFonts w:ascii="Times New Roman" w:hAnsi="Times New Roman" w:eastAsia="宋体"/>
                <w:b w:val="0"/>
                <w:sz w:val="18"/>
              </w:rPr>
              <w:t>37.70</w:t>
            </w:r>
          </w:p>
        </w:tc>
        <w:tc>
          <w:tcPr>
            <w:tcW w:type="dxa" w:w="1758"/>
            <w:vAlign w:val="center"/>
          </w:tcPr>
          <w:p>
            <w:pPr>
              <w:spacing w:before="0" w:after="0" w:line="252" w:lineRule="auto"/>
              <w:jc w:val="center"/>
            </w:pPr>
            <w:r/>
            <w:r>
              <w:rPr>
                <w:rFonts w:ascii="Times New Roman" w:hAnsi="Times New Roman" w:eastAsia="宋体"/>
                <w:b w:val="0"/>
                <w:sz w:val="18"/>
              </w:rPr>
              <w:t>15.08</w:t>
            </w:r>
          </w:p>
        </w:tc>
        <w:tc>
          <w:tcPr>
            <w:tcW w:type="dxa" w:w="1758"/>
            <w:vAlign w:val="center"/>
          </w:tcPr>
          <w:p>
            <w:pPr>
              <w:spacing w:before="0" w:after="0" w:line="252" w:lineRule="auto"/>
              <w:jc w:val="center"/>
            </w:pPr>
            <w:r/>
            <w:r>
              <w:rPr>
                <w:rFonts w:ascii="Times New Roman" w:hAnsi="Times New Roman" w:eastAsia="宋体"/>
                <w:b w:val="0"/>
                <w:sz w:val="18"/>
              </w:rPr>
              <w:t>52.78</w:t>
            </w:r>
          </w:p>
        </w:tc>
        <w:tc>
          <w:tcPr>
            <w:tcW w:type="dxa" w:w="1191"/>
            <w:vAlign w:val="center"/>
          </w:tcPr>
          <w:p>
            <w:pPr>
              <w:spacing w:before="0" w:after="0" w:line="252" w:lineRule="auto"/>
              <w:jc w:val="center"/>
            </w:pPr>
            <w:r/>
            <w:r>
              <w:rPr>
                <w:rFonts w:ascii="Times New Roman" w:hAnsi="Times New Roman" w:eastAsia="宋体"/>
                <w:b w:val="0"/>
                <w:sz w:val="18"/>
              </w:rPr>
              <w:t>9</w:t>
            </w:r>
          </w:p>
        </w:tc>
      </w:tr>
    </w:tbl>
    <w:p>
      <w:pPr>
        <w:spacing w:before="0" w:after="0"/>
      </w:pPr>
    </w:p>
    <w:p>
      <w:pPr>
        <w:keepNext w:val="0"/>
        <w:keepLines/>
        <w:spacing w:line="360" w:lineRule="auto" w:before="0" w:after="0"/>
        <w:ind w:firstLine="480"/>
        <w:jc w:val="both"/>
      </w:pPr>
      <w:r>
        <w:rPr>
          <w:rFonts w:ascii="Times New Roman" w:hAnsi="Times New Roman" w:eastAsia="宋体"/>
          <w:sz w:val="24"/>
        </w:rPr>
        <w:t>最大计算流量52.78 L/s，消防冷却水泵额定流量取55 L/s，设置2台同规格泵，1用1备。喷淋环管喷头间距不大于2.0 m，喷头出口压力不小于0.10 MPa。</w:t>
      </w:r>
    </w:p>
    <w:p>
      <w:pPr>
        <w:keepNext/>
        <w:keepLines/>
        <w:spacing w:line="360" w:lineRule="auto" w:before="0" w:after="0"/>
        <w:ind w:firstLine="480"/>
        <w:jc w:val="both"/>
      </w:pPr>
      <w:r>
        <w:rPr>
          <w:rFonts w:ascii="Times New Roman" w:hAnsi="Times New Roman" w:eastAsia="宋体"/>
          <w:b/>
          <w:sz w:val="24"/>
        </w:rPr>
        <w:t>（2）消防水池有效容积</w:t>
      </w:r>
    </w:p>
    <w:p>
      <w:pPr>
        <w:keepNext w:val="0"/>
        <w:keepLines/>
        <w:spacing w:line="360" w:lineRule="auto" w:before="0" w:after="0"/>
        <w:ind w:firstLine="480"/>
        <w:jc w:val="both"/>
      </w:pPr>
      <w:r>
        <w:rPr>
          <w:rFonts w:ascii="Times New Roman" w:hAnsi="Times New Roman" w:eastAsia="宋体"/>
          <w:sz w:val="24"/>
        </w:rPr>
        <w:t>直径大于20 m的固定顶储罐冷却水连续供给时间按GB 50074—2014第12.2.11条取9 h。最大冷却水储量为：</w:t>
      </w:r>
    </w:p>
    <w:p>
      <w:pPr>
        <w:tabs>
          <w:tab w:pos="4450" w:val="center"/>
          <w:tab w:pos="8901" w:val="right"/>
        </w:tabs>
        <w:spacing w:before="40" w:after="40" w:line="276" w:lineRule="auto"/>
        <w:ind w:firstLine="0"/>
      </w:pPr>
      <w:r>
        <w:tab/>
      </w:r>
      <m:oMath>
        <m:sSub>
          <m:e>
            <m:r>
              <m:t>V</m:t>
            </m:r>
          </m:e>
          <m:sub>
            <m:r>
              <m:t>w</m:t>
            </m:r>
          </m:sub>
        </m:sSub>
        <m:r>
          <m:t>=</m:t>
        </m:r>
        <m:sSub>
          <m:e>
            <m:r>
              <m:t>Q</m:t>
            </m:r>
          </m:e>
          <m:sub>
            <m:r>
              <m:t>c,max</m:t>
            </m:r>
          </m:sub>
        </m:sSub>
        <m:r>
          <m:t>×9×3.6=52.78×9×3.6=1710.07</m:t>
        </m:r>
        <m:r>
          <m:rPr>
            <m:sty m:val="p"/>
          </m:rPr>
          <m:t> </m:t>
        </m:r>
        <m:sSup>
          <m:e>
            <m:r>
              <m:rPr>
                <m:sty m:val="p"/>
              </m:rPr>
              <m:t>m</m:t>
            </m:r>
          </m:e>
          <m:sup>
            <m:r>
              <m:t>3</m:t>
            </m:r>
          </m:sup>
        </m:sSup>
      </m:oMath>
      <w:r>
        <w:rPr>
          <w:rFonts w:ascii="Times New Roman" w:hAnsi="Times New Roman" w:eastAsia="宋体"/>
          <w:sz w:val="21"/>
        </w:rPr>
        <w:tab/>
        <w:t>(7-28)</w:t>
      </w:r>
    </w:p>
    <w:p>
      <w:pPr>
        <w:keepNext w:val="0"/>
        <w:keepLines/>
        <w:spacing w:line="360" w:lineRule="auto" w:before="0" w:after="0"/>
        <w:ind w:firstLine="480"/>
        <w:jc w:val="both"/>
      </w:pPr>
      <w:r>
        <w:rPr>
          <w:rFonts w:ascii="Times New Roman" w:hAnsi="Times New Roman" w:eastAsia="宋体"/>
          <w:sz w:val="24"/>
        </w:rPr>
        <w:t>泡沫混合液用水量按3.9%混合比计算：</w:t>
      </w:r>
    </w:p>
    <w:p>
      <w:pPr>
        <w:tabs>
          <w:tab w:pos="4450" w:val="center"/>
          <w:tab w:pos="8901" w:val="right"/>
        </w:tabs>
        <w:spacing w:before="40" w:after="40" w:line="276" w:lineRule="auto"/>
        <w:ind w:firstLine="0"/>
      </w:pPr>
      <w:r>
        <w:tab/>
      </w:r>
      <m:oMath>
        <m:sSub>
          <m:e>
            <m:r>
              <m:t>V</m:t>
            </m:r>
          </m:e>
          <m:sub>
            <m:r>
              <m:t>fw</m:t>
            </m:r>
          </m:sub>
        </m:sSub>
        <m:r>
          <m:t>=</m:t>
        </m:r>
        <m:sSub>
          <m:e>
            <m:r>
              <m:t>V</m:t>
            </m:r>
          </m:e>
          <m:sub>
            <m:r>
              <m:t>m</m:t>
            </m:r>
          </m:sub>
        </m:sSub>
        <m:r>
          <m:t>(1−0.039)=102.22×0.961=98.23</m:t>
        </m:r>
        <m:r>
          <m:rPr>
            <m:sty m:val="p"/>
          </m:rPr>
          <m:t> </m:t>
        </m:r>
        <m:sSup>
          <m:e>
            <m:r>
              <m:rPr>
                <m:sty m:val="p"/>
              </m:rPr>
              <m:t>m</m:t>
            </m:r>
          </m:e>
          <m:sup>
            <m:r>
              <m:t>3</m:t>
            </m:r>
          </m:sup>
        </m:sSup>
      </m:oMath>
      <w:r>
        <w:rPr>
          <w:rFonts w:ascii="Times New Roman" w:hAnsi="Times New Roman" w:eastAsia="宋体"/>
          <w:sz w:val="21"/>
        </w:rPr>
        <w:tab/>
        <w:t>(7-29)</w:t>
      </w:r>
    </w:p>
    <w:p>
      <w:pPr>
        <w:keepNext w:val="0"/>
        <w:keepLines/>
        <w:spacing w:line="360" w:lineRule="auto" w:before="0" w:after="0"/>
        <w:ind w:firstLine="480"/>
        <w:jc w:val="both"/>
      </w:pPr>
      <w:r>
        <w:rPr>
          <w:rFonts w:ascii="Times New Roman" w:hAnsi="Times New Roman" w:eastAsia="宋体"/>
          <w:sz w:val="24"/>
        </w:rPr>
        <w:t>消防总有效水量为：</w:t>
      </w:r>
    </w:p>
    <w:p>
      <w:pPr>
        <w:tabs>
          <w:tab w:pos="4450" w:val="center"/>
          <w:tab w:pos="8901" w:val="right"/>
        </w:tabs>
        <w:spacing w:before="40" w:after="40" w:line="276" w:lineRule="auto"/>
        <w:ind w:firstLine="0"/>
      </w:pPr>
      <w:r>
        <w:tab/>
      </w:r>
      <m:oMath>
        <m:sSub>
          <m:e>
            <m:r>
              <m:t>V</m:t>
            </m:r>
          </m:e>
          <m:sub>
            <m:r>
              <m:t>F</m:t>
            </m:r>
          </m:sub>
        </m:sSub>
        <m:r>
          <m:t>=</m:t>
        </m:r>
        <m:sSub>
          <m:e>
            <m:r>
              <m:t>V</m:t>
            </m:r>
          </m:e>
          <m:sub>
            <m:r>
              <m:t>w</m:t>
            </m:r>
          </m:sub>
        </m:sSub>
        <m:r>
          <m:t>+</m:t>
        </m:r>
        <m:sSub>
          <m:e>
            <m:r>
              <m:t>V</m:t>
            </m:r>
          </m:e>
          <m:sub>
            <m:r>
              <m:t>fw</m:t>
            </m:r>
          </m:sub>
        </m:sSub>
        <m:r>
          <m:t>=1710.07+98.23=1808.30</m:t>
        </m:r>
        <m:r>
          <m:rPr>
            <m:sty m:val="p"/>
          </m:rPr>
          <m:t> </m:t>
        </m:r>
        <m:sSup>
          <m:e>
            <m:r>
              <m:rPr>
                <m:sty m:val="p"/>
              </m:rPr>
              <m:t>m</m:t>
            </m:r>
          </m:e>
          <m:sup>
            <m:r>
              <m:t>3</m:t>
            </m:r>
          </m:sup>
        </m:sSup>
      </m:oMath>
      <w:r>
        <w:rPr>
          <w:rFonts w:ascii="Times New Roman" w:hAnsi="Times New Roman" w:eastAsia="宋体"/>
          <w:sz w:val="21"/>
        </w:rPr>
        <w:tab/>
        <w:t>(7-30)</w:t>
      </w:r>
    </w:p>
    <w:p>
      <w:pPr>
        <w:keepNext w:val="0"/>
        <w:keepLines/>
        <w:spacing w:line="360" w:lineRule="auto" w:before="0" w:after="0"/>
        <w:ind w:firstLine="480"/>
        <w:jc w:val="both"/>
      </w:pPr>
      <w:r>
        <w:rPr>
          <w:rFonts w:ascii="Times New Roman" w:hAnsi="Times New Roman" w:eastAsia="宋体"/>
          <w:sz w:val="24"/>
        </w:rPr>
        <w:t>设置2座有效容积1000 m³的消防水池，总有效容积2000 m³，大于1808.30 m³，容量裕量191.70 m³。消防水量大于1000 m³，采用两池布置并以带阀门连通管连通，补水时间不超过96 h，设置消防车取水口，符合GB 50074—2014第12.2.14条。</w:t>
      </w:r>
    </w:p>
    <w:p>
      <w:pPr>
        <w:keepNext/>
        <w:keepLines/>
        <w:spacing w:line="360" w:lineRule="auto" w:before="0" w:after="0"/>
        <w:ind w:firstLine="480"/>
        <w:jc w:val="both"/>
      </w:pPr>
      <w:r>
        <w:rPr>
          <w:rFonts w:ascii="Times New Roman" w:hAnsi="Times New Roman" w:eastAsia="宋体"/>
          <w:b/>
          <w:sz w:val="24"/>
        </w:rPr>
        <w:t>（3）消防管网与消火栓</w:t>
      </w:r>
    </w:p>
    <w:p>
      <w:pPr>
        <w:keepNext w:val="0"/>
        <w:keepLines/>
        <w:spacing w:line="360" w:lineRule="auto" w:before="0" w:after="0"/>
        <w:ind w:firstLine="480"/>
        <w:jc w:val="both"/>
      </w:pPr>
      <w:r>
        <w:rPr>
          <w:rFonts w:ascii="Times New Roman" w:hAnsi="Times New Roman" w:eastAsia="宋体"/>
          <w:sz w:val="24"/>
        </w:rPr>
        <w:t>冷却水环形主管采用DN250，泡沫混合液主管采用DN200。设计流量均按55 L/s校核，流速按式（7-31）计算：</w:t>
      </w:r>
    </w:p>
    <w:p>
      <w:pPr>
        <w:tabs>
          <w:tab w:pos="4450" w:val="center"/>
          <w:tab w:pos="8901" w:val="right"/>
        </w:tabs>
        <w:spacing w:before="40" w:after="40" w:line="276" w:lineRule="auto"/>
        <w:ind w:firstLine="0"/>
      </w:pPr>
      <w:r>
        <w:tab/>
      </w:r>
      <m:oMath>
        <m:r>
          <m:t>v=</m:t>
        </m:r>
        <m:f>
          <m:fPr>
            <m:type m:val="bar"/>
          </m:fPr>
          <m:num>
            <m:r>
              <m:t>4Q</m:t>
            </m:r>
          </m:num>
          <m:den>
            <m:r>
              <m:t>π</m:t>
            </m:r>
            <m:sSup>
              <m:e>
                <m:r>
                  <m:t>d</m:t>
                </m:r>
              </m:e>
              <m:sup>
                <m:r>
                  <m:t>2</m:t>
                </m:r>
              </m:sup>
            </m:sSup>
          </m:den>
        </m:f>
      </m:oMath>
      <w:r>
        <w:rPr>
          <w:rFonts w:ascii="Times New Roman" w:hAnsi="Times New Roman" w:eastAsia="宋体"/>
          <w:sz w:val="21"/>
        </w:rPr>
        <w:tab/>
        <w:t>(7-31)</w:t>
      </w:r>
    </w:p>
    <w:p>
      <w:pPr>
        <w:keepNext w:val="0"/>
        <w:keepLines/>
        <w:spacing w:line="360" w:lineRule="auto" w:before="0" w:after="0"/>
        <w:ind w:firstLine="480"/>
        <w:jc w:val="both"/>
      </w:pPr>
      <w:r>
        <w:rPr>
          <w:rFonts w:ascii="Times New Roman" w:hAnsi="Times New Roman" w:eastAsia="宋体"/>
          <w:sz w:val="24"/>
        </w:rPr>
        <w:t>冷却水主管流速v＝4×0.055/(π×0.25²)＝1.12 m/s；泡沫混合液主管流速v＝4×0.055/(π×0.20²)＝1.75 m/s，均小于GB 50151—2021规定的系统水和泡沫混合液管道3.0 m/s控制值。每条环网进水管均按55 L/s通过能力设置。</w:t>
      </w:r>
    </w:p>
    <w:p>
      <w:pPr>
        <w:keepNext w:val="0"/>
        <w:keepLines/>
        <w:spacing w:line="360" w:lineRule="auto" w:before="0" w:after="0"/>
        <w:ind w:firstLine="480"/>
        <w:jc w:val="both"/>
      </w:pPr>
      <w:r>
        <w:rPr>
          <w:rFonts w:ascii="Times New Roman" w:hAnsi="Times New Roman" w:eastAsia="宋体"/>
          <w:sz w:val="24"/>
        </w:rPr>
        <w:t>储罐区室外消火栓沿环形消防管网布置，间距不大于60 m；距着火罐罐壁15 m以内的消火栓不计入可用数量。汽车罐车装车区消防水量按30 L/s设置。泡沫消防泵与冷却水泵及其管道分开设置，分别配置1台工作泵和1台同规格备用泵。</w:t>
      </w:r>
    </w:p>
    <w:p>
      <w:pPr>
        <w:pStyle w:val="6"/>
        <w:keepNext/>
        <w:pageBreakBefore w:val="0"/>
        <w:spacing w:before="120" w:after="60"/>
        <w:jc w:val="center"/>
      </w:pPr>
      <w:r>
        <w:rPr>
          <w:rFonts w:ascii="Times New Roman" w:hAnsi="Times New Roman" w:eastAsia="宋体"/>
          <w:b/>
          <w:sz w:val="22"/>
        </w:rPr>
        <w:t>表7-5 消防系统主要配置</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1701"/>
        <w:gridCol w:w="1701"/>
        <w:gridCol w:w="1418"/>
        <w:gridCol w:w="2381"/>
      </w:tblGrid>
      <w:tr>
        <w:trPr>
          <w:tblHeader w:val="true"/>
        </w:trPr>
        <w:tc>
          <w:tcPr>
            <w:tcW w:type="dxa" w:w="1701"/>
            <w:vAlign w:val="center"/>
          </w:tcPr>
          <w:p>
            <w:pPr>
              <w:keepNext/>
              <w:spacing w:before="0" w:after="0" w:line="252" w:lineRule="auto"/>
              <w:jc w:val="center"/>
            </w:pPr>
            <w:r/>
            <w:r>
              <w:rPr>
                <w:rFonts w:ascii="Times New Roman" w:hAnsi="Times New Roman" w:eastAsia="宋体"/>
                <w:b/>
                <w:sz w:val="18"/>
              </w:rPr>
              <w:t>系统</w:t>
            </w:r>
          </w:p>
        </w:tc>
        <w:tc>
          <w:tcPr>
            <w:tcW w:type="dxa" w:w="1701"/>
            <w:vAlign w:val="center"/>
          </w:tcPr>
          <w:p>
            <w:pPr>
              <w:keepNext/>
              <w:spacing w:before="0" w:after="0" w:line="252" w:lineRule="auto"/>
              <w:jc w:val="center"/>
            </w:pPr>
            <w:r/>
            <w:r>
              <w:rPr>
                <w:rFonts w:ascii="Times New Roman" w:hAnsi="Times New Roman" w:eastAsia="宋体"/>
                <w:b/>
                <w:sz w:val="18"/>
              </w:rPr>
              <w:t>计算流量</w:t>
            </w:r>
          </w:p>
        </w:tc>
        <w:tc>
          <w:tcPr>
            <w:tcW w:type="dxa" w:w="1701"/>
            <w:vAlign w:val="center"/>
          </w:tcPr>
          <w:p>
            <w:pPr>
              <w:keepNext/>
              <w:spacing w:before="0" w:after="0" w:line="252" w:lineRule="auto"/>
              <w:jc w:val="center"/>
            </w:pPr>
            <w:r/>
            <w:r>
              <w:rPr>
                <w:rFonts w:ascii="Times New Roman" w:hAnsi="Times New Roman" w:eastAsia="宋体"/>
                <w:b/>
                <w:sz w:val="18"/>
              </w:rPr>
              <w:t>额定流量</w:t>
            </w:r>
          </w:p>
        </w:tc>
        <w:tc>
          <w:tcPr>
            <w:tcW w:type="dxa" w:w="1418"/>
            <w:vAlign w:val="center"/>
          </w:tcPr>
          <w:p>
            <w:pPr>
              <w:keepNext/>
              <w:spacing w:before="0" w:after="0" w:line="252" w:lineRule="auto"/>
              <w:jc w:val="center"/>
            </w:pPr>
            <w:r/>
            <w:r>
              <w:rPr>
                <w:rFonts w:ascii="Times New Roman" w:hAnsi="Times New Roman" w:eastAsia="宋体"/>
                <w:b/>
                <w:sz w:val="18"/>
              </w:rPr>
              <w:t>泵组</w:t>
            </w:r>
          </w:p>
        </w:tc>
        <w:tc>
          <w:tcPr>
            <w:tcW w:type="dxa" w:w="2381"/>
            <w:vAlign w:val="center"/>
          </w:tcPr>
          <w:p>
            <w:pPr>
              <w:keepNext/>
              <w:spacing w:before="0" w:after="0" w:line="252" w:lineRule="auto"/>
              <w:jc w:val="center"/>
            </w:pPr>
            <w:r/>
            <w:r>
              <w:rPr>
                <w:rFonts w:ascii="Times New Roman" w:hAnsi="Times New Roman" w:eastAsia="宋体"/>
                <w:b/>
                <w:sz w:val="18"/>
              </w:rPr>
              <w:t>储备设施</w:t>
            </w:r>
          </w:p>
        </w:tc>
      </w:tr>
      <w:tr>
        <w:trPr>
          <w:cantSplit w:val="1"/>
        </w:trPr>
        <w:tc>
          <w:tcPr>
            <w:tcW w:type="dxa" w:w="1701"/>
            <w:vAlign w:val="center"/>
          </w:tcPr>
          <w:p>
            <w:pPr>
              <w:spacing w:before="0" w:after="0" w:line="252" w:lineRule="auto"/>
              <w:jc w:val="center"/>
            </w:pPr>
            <w:r/>
            <w:r>
              <w:rPr>
                <w:rFonts w:ascii="Times New Roman" w:hAnsi="Times New Roman" w:eastAsia="宋体"/>
                <w:b w:val="0"/>
                <w:sz w:val="18"/>
              </w:rPr>
              <w:t>消防冷却水</w:t>
            </w:r>
          </w:p>
        </w:tc>
        <w:tc>
          <w:tcPr>
            <w:tcW w:type="dxa" w:w="1701"/>
            <w:vAlign w:val="center"/>
          </w:tcPr>
          <w:p>
            <w:pPr>
              <w:spacing w:before="0" w:after="0" w:line="252" w:lineRule="auto"/>
              <w:jc w:val="center"/>
            </w:pPr>
            <w:r/>
            <w:r>
              <w:rPr>
                <w:rFonts w:ascii="Times New Roman" w:hAnsi="Times New Roman" w:eastAsia="宋体"/>
                <w:b w:val="0"/>
                <w:sz w:val="18"/>
              </w:rPr>
              <w:t>52.78 L/s</w:t>
            </w:r>
          </w:p>
        </w:tc>
        <w:tc>
          <w:tcPr>
            <w:tcW w:type="dxa" w:w="1701"/>
            <w:vAlign w:val="center"/>
          </w:tcPr>
          <w:p>
            <w:pPr>
              <w:spacing w:before="0" w:after="0" w:line="252" w:lineRule="auto"/>
              <w:jc w:val="center"/>
            </w:pPr>
            <w:r/>
            <w:r>
              <w:rPr>
                <w:rFonts w:ascii="Times New Roman" w:hAnsi="Times New Roman" w:eastAsia="宋体"/>
                <w:b w:val="0"/>
                <w:sz w:val="18"/>
              </w:rPr>
              <w:t>55 L/s</w:t>
            </w:r>
          </w:p>
        </w:tc>
        <w:tc>
          <w:tcPr>
            <w:tcW w:type="dxa" w:w="1418"/>
            <w:vAlign w:val="center"/>
          </w:tcPr>
          <w:p>
            <w:pPr>
              <w:spacing w:before="0" w:after="0" w:line="252" w:lineRule="auto"/>
              <w:jc w:val="center"/>
            </w:pPr>
            <w:r/>
            <w:r>
              <w:rPr>
                <w:rFonts w:ascii="Times New Roman" w:hAnsi="Times New Roman" w:eastAsia="宋体"/>
                <w:b w:val="0"/>
                <w:sz w:val="18"/>
              </w:rPr>
              <w:t>1用1备</w:t>
            </w:r>
          </w:p>
        </w:tc>
        <w:tc>
          <w:tcPr>
            <w:tcW w:type="dxa" w:w="2381"/>
            <w:vAlign w:val="center"/>
          </w:tcPr>
          <w:p>
            <w:pPr>
              <w:spacing w:before="0" w:after="0" w:line="252" w:lineRule="auto"/>
              <w:jc w:val="center"/>
            </w:pPr>
            <w:r/>
            <w:r>
              <w:rPr>
                <w:rFonts w:ascii="Times New Roman" w:hAnsi="Times New Roman" w:eastAsia="宋体"/>
                <w:b w:val="0"/>
                <w:sz w:val="18"/>
              </w:rPr>
              <w:t>2×1000 m³消防水池</w:t>
            </w:r>
          </w:p>
        </w:tc>
      </w:tr>
      <w:tr>
        <w:trPr>
          <w:cantSplit w:val="1"/>
        </w:trPr>
        <w:tc>
          <w:tcPr>
            <w:tcW w:type="dxa" w:w="1701"/>
            <w:vAlign w:val="center"/>
          </w:tcPr>
          <w:p>
            <w:pPr>
              <w:spacing w:before="0" w:after="0" w:line="252" w:lineRule="auto"/>
              <w:jc w:val="center"/>
            </w:pPr>
            <w:r/>
            <w:r>
              <w:rPr>
                <w:rFonts w:ascii="Times New Roman" w:hAnsi="Times New Roman" w:eastAsia="宋体"/>
                <w:b w:val="0"/>
                <w:sz w:val="18"/>
              </w:rPr>
              <w:t>固定式泡沫</w:t>
            </w:r>
          </w:p>
        </w:tc>
        <w:tc>
          <w:tcPr>
            <w:tcW w:type="dxa" w:w="1701"/>
            <w:vAlign w:val="center"/>
          </w:tcPr>
          <w:p>
            <w:pPr>
              <w:spacing w:before="0" w:after="0" w:line="252" w:lineRule="auto"/>
              <w:jc w:val="center"/>
            </w:pPr>
            <w:r/>
            <w:r>
              <w:rPr>
                <w:rFonts w:ascii="Times New Roman" w:hAnsi="Times New Roman" w:eastAsia="宋体"/>
                <w:b w:val="0"/>
                <w:sz w:val="18"/>
              </w:rPr>
              <w:t>53.24 L/s</w:t>
            </w:r>
          </w:p>
        </w:tc>
        <w:tc>
          <w:tcPr>
            <w:tcW w:type="dxa" w:w="1701"/>
            <w:vAlign w:val="center"/>
          </w:tcPr>
          <w:p>
            <w:pPr>
              <w:spacing w:before="0" w:after="0" w:line="252" w:lineRule="auto"/>
              <w:jc w:val="center"/>
            </w:pPr>
            <w:r/>
            <w:r>
              <w:rPr>
                <w:rFonts w:ascii="Times New Roman" w:hAnsi="Times New Roman" w:eastAsia="宋体"/>
                <w:b w:val="0"/>
                <w:sz w:val="18"/>
              </w:rPr>
              <w:t>55 L/s</w:t>
            </w:r>
          </w:p>
        </w:tc>
        <w:tc>
          <w:tcPr>
            <w:tcW w:type="dxa" w:w="1418"/>
            <w:vAlign w:val="center"/>
          </w:tcPr>
          <w:p>
            <w:pPr>
              <w:spacing w:before="0" w:after="0" w:line="252" w:lineRule="auto"/>
              <w:jc w:val="center"/>
            </w:pPr>
            <w:r/>
            <w:r>
              <w:rPr>
                <w:rFonts w:ascii="Times New Roman" w:hAnsi="Times New Roman" w:eastAsia="宋体"/>
                <w:b w:val="0"/>
                <w:sz w:val="18"/>
              </w:rPr>
              <w:t>1用1备</w:t>
            </w:r>
          </w:p>
        </w:tc>
        <w:tc>
          <w:tcPr>
            <w:tcW w:type="dxa" w:w="2381"/>
            <w:vAlign w:val="center"/>
          </w:tcPr>
          <w:p>
            <w:pPr>
              <w:spacing w:before="0" w:after="0" w:line="252" w:lineRule="auto"/>
              <w:jc w:val="center"/>
            </w:pPr>
            <w:r/>
            <w:r>
              <w:rPr>
                <w:rFonts w:ascii="Times New Roman" w:hAnsi="Times New Roman" w:eastAsia="宋体"/>
                <w:b w:val="0"/>
                <w:sz w:val="18"/>
              </w:rPr>
              <w:t>与消防水池共用水源</w:t>
            </w:r>
          </w:p>
        </w:tc>
      </w:tr>
      <w:tr>
        <w:trPr>
          <w:cantSplit w:val="1"/>
        </w:trPr>
        <w:tc>
          <w:tcPr>
            <w:tcW w:type="dxa" w:w="1701"/>
            <w:vAlign w:val="center"/>
          </w:tcPr>
          <w:p>
            <w:pPr>
              <w:spacing w:before="0" w:after="0" w:line="252" w:lineRule="auto"/>
              <w:jc w:val="center"/>
            </w:pPr>
            <w:r/>
            <w:r>
              <w:rPr>
                <w:rFonts w:ascii="Times New Roman" w:hAnsi="Times New Roman" w:eastAsia="宋体"/>
                <w:b w:val="0"/>
                <w:sz w:val="18"/>
              </w:rPr>
              <w:t>泡沫液</w:t>
            </w:r>
          </w:p>
        </w:tc>
        <w:tc>
          <w:tcPr>
            <w:tcW w:type="dxa" w:w="1701"/>
            <w:vAlign w:val="center"/>
          </w:tcPr>
          <w:p>
            <w:pPr>
              <w:spacing w:before="0" w:after="0" w:line="252" w:lineRule="auto"/>
              <w:jc w:val="center"/>
            </w:pPr>
            <w:r/>
            <w:r>
              <w:rPr>
                <w:rFonts w:ascii="Times New Roman" w:hAnsi="Times New Roman" w:eastAsia="宋体"/>
                <w:b w:val="0"/>
                <w:sz w:val="18"/>
              </w:rPr>
              <w:t>最小7.98 m³</w:t>
            </w:r>
          </w:p>
        </w:tc>
        <w:tc>
          <w:tcPr>
            <w:tcW w:type="dxa" w:w="1701"/>
            <w:vAlign w:val="center"/>
          </w:tcPr>
          <w:p>
            <w:pPr>
              <w:spacing w:before="0" w:after="0" w:line="252" w:lineRule="auto"/>
              <w:jc w:val="center"/>
            </w:pPr>
            <w:r/>
            <w:r>
              <w:rPr>
                <w:rFonts w:ascii="Times New Roman" w:hAnsi="Times New Roman" w:eastAsia="宋体"/>
                <w:b w:val="0"/>
                <w:sz w:val="18"/>
              </w:rPr>
              <w:t>有效10 m³</w:t>
            </w:r>
          </w:p>
        </w:tc>
        <w:tc>
          <w:tcPr>
            <w:tcW w:type="dxa" w:w="1418"/>
            <w:vAlign w:val="center"/>
          </w:tcPr>
          <w:p>
            <w:pPr>
              <w:spacing w:before="0" w:after="0" w:line="252" w:lineRule="auto"/>
              <w:jc w:val="center"/>
            </w:pPr>
            <w:r/>
            <w:r>
              <w:rPr>
                <w:rFonts w:ascii="Times New Roman" w:hAnsi="Times New Roman" w:eastAsia="宋体"/>
                <w:b w:val="0"/>
                <w:sz w:val="18"/>
              </w:rPr>
              <w:t>平衡式比例混合</w:t>
            </w:r>
          </w:p>
        </w:tc>
        <w:tc>
          <w:tcPr>
            <w:tcW w:type="dxa" w:w="2381"/>
            <w:vAlign w:val="center"/>
          </w:tcPr>
          <w:p>
            <w:pPr>
              <w:spacing w:before="0" w:after="0" w:line="252" w:lineRule="auto"/>
              <w:jc w:val="center"/>
            </w:pPr>
            <w:r/>
            <w:r>
              <w:rPr>
                <w:rFonts w:ascii="Times New Roman" w:hAnsi="Times New Roman" w:eastAsia="宋体"/>
                <w:b w:val="0"/>
                <w:sz w:val="18"/>
              </w:rPr>
              <w:t>2×5 m³泡沫液罐</w:t>
            </w:r>
          </w:p>
        </w:tc>
      </w:tr>
    </w:tbl>
    <w:p>
      <w:pPr>
        <w:spacing w:before="0" w:after="0"/>
      </w:pPr>
    </w:p>
    <w:p>
      <w:pPr>
        <w:pStyle w:val="8"/>
        <w:keepNext/>
        <w:spacing w:before="60" w:after="60" w:line="360" w:lineRule="auto"/>
        <w:jc w:val="left"/>
      </w:pPr>
      <w:r>
        <w:rPr>
          <w:rFonts w:ascii="Times New Roman" w:hAnsi="Times New Roman" w:eastAsia="黑体"/>
          <w:b/>
          <w:sz w:val="30"/>
        </w:rPr>
        <w:t>7.3 防雷、防静电设计</w:t>
      </w:r>
    </w:p>
    <w:p>
      <w:pPr>
        <w:pStyle w:val="9"/>
        <w:keepNext/>
        <w:spacing w:before="60" w:after="60" w:line="360" w:lineRule="auto"/>
        <w:ind w:firstLine="480"/>
        <w:jc w:val="left"/>
      </w:pPr>
      <w:r>
        <w:rPr>
          <w:rFonts w:ascii="Times New Roman" w:hAnsi="Times New Roman" w:eastAsia="黑体"/>
          <w:b/>
          <w:sz w:val="28"/>
        </w:rPr>
        <w:t>7.3.1 防雷设计</w:t>
      </w:r>
    </w:p>
    <w:p>
      <w:pPr>
        <w:keepNext w:val="0"/>
        <w:keepLines/>
        <w:spacing w:line="360" w:lineRule="auto" w:before="0" w:after="0"/>
        <w:ind w:firstLine="480"/>
        <w:jc w:val="both"/>
      </w:pPr>
      <w:r>
        <w:rPr>
          <w:rFonts w:ascii="Times New Roman" w:hAnsi="Times New Roman" w:eastAsia="宋体"/>
          <w:sz w:val="24"/>
        </w:rPr>
        <w:t>钢制储罐按GB 50074—2014第14.2.1～14.2.2条设置防雷接地，接地点不少于2处，沿罐周间距不大于30 m，接地电阻不大于10 Ω。接地点数量按式（7-32）计算：</w:t>
      </w:r>
    </w:p>
    <w:p>
      <w:pPr>
        <w:tabs>
          <w:tab w:pos="4450" w:val="center"/>
          <w:tab w:pos="8901" w:val="right"/>
        </w:tabs>
        <w:spacing w:before="40" w:after="40" w:line="276" w:lineRule="auto"/>
        <w:ind w:firstLine="0"/>
      </w:pPr>
      <w:r>
        <w:tab/>
      </w:r>
      <m:oMath>
        <m:sSub>
          <m:e>
            <m:r>
              <m:t>N</m:t>
            </m:r>
          </m:e>
          <m:sub>
            <m:r>
              <m:t>g</m:t>
            </m:r>
          </m:sub>
        </m:sSub>
        <m:r>
          <m:t>=</m:t>
        </m:r>
        <m:d>
          <m:dPr>
            <m:begChr m:val="⌈"/>
            <m:sepChr m:val=""/>
            <m:endChr m:val="⌉"/>
          </m:dPr>
          <m:e>
            <m:f>
              <m:fPr>
                <m:type m:val="bar"/>
              </m:fPr>
              <m:num>
                <m:r>
                  <m:t>πD</m:t>
                </m:r>
              </m:num>
              <m:den>
                <m:r>
                  <m:t>30</m:t>
                </m:r>
              </m:den>
            </m:f>
          </m:e>
        </m:d>
        <m:r>
          <m:t>=</m:t>
        </m:r>
        <m:d>
          <m:dPr>
            <m:begChr m:val="⌈"/>
            <m:sepChr m:val=""/>
            <m:endChr m:val="⌉"/>
          </m:dPr>
          <m:e>
            <m:f>
              <m:fPr>
                <m:type m:val="bar"/>
              </m:fPr>
              <m:num>
                <m:r>
                  <m:t>π×24</m:t>
                </m:r>
              </m:num>
              <m:den>
                <m:r>
                  <m:t>30</m:t>
                </m:r>
              </m:den>
            </m:f>
          </m:e>
        </m:d>
        <m:r>
          <m:t>=3</m:t>
        </m:r>
      </m:oMath>
      <w:r>
        <w:rPr>
          <w:rFonts w:ascii="Times New Roman" w:hAnsi="Times New Roman" w:eastAsia="宋体"/>
          <w:sz w:val="21"/>
        </w:rPr>
        <w:tab/>
        <w:t>(7-32)</w:t>
      </w:r>
    </w:p>
    <w:p>
      <w:pPr>
        <w:keepNext w:val="0"/>
        <w:keepLines/>
        <w:spacing w:line="360" w:lineRule="auto" w:before="0" w:after="0"/>
        <w:ind w:firstLine="480"/>
        <w:jc w:val="both"/>
      </w:pPr>
      <w:r>
        <w:rPr>
          <w:rFonts w:ascii="Times New Roman" w:hAnsi="Times New Roman" w:eastAsia="宋体"/>
          <w:sz w:val="24"/>
        </w:rPr>
        <w:t>每座储罐设置3处防雷接地点，沿罐周均匀布置，实际间距为π×24/3＝25.13 m，小于30 m。7座储罐共设置21处罐体接地点，并接入全库共用接地网。</w:t>
      </w:r>
    </w:p>
    <w:p>
      <w:pPr>
        <w:keepNext w:val="0"/>
        <w:keepLines/>
        <w:spacing w:line="360" w:lineRule="auto" w:before="0" w:after="0"/>
        <w:ind w:firstLine="480"/>
        <w:jc w:val="both"/>
      </w:pPr>
      <w:r>
        <w:rPr>
          <w:rFonts w:ascii="Times New Roman" w:hAnsi="Times New Roman" w:eastAsia="宋体"/>
          <w:sz w:val="24"/>
        </w:rPr>
        <w:t>汽油内浮顶罐不设置独立接闪杆或接闪网，浮盘与罐体之间设置2根直径不小于5 mm的不锈钢钢丝绳。柴油固定顶罐顶板厚度5 mm且呼吸口设阻火装置，利用罐体自然接闪，不另设接闪杆。远传液位、温度和报警仪表采用屏蔽电缆并穿镀锌钢管保护，保护管两端与罐体电气连接，仪表金属外壳与罐体等电位连接。</w:t>
      </w:r>
    </w:p>
    <w:p>
      <w:pPr>
        <w:keepNext w:val="0"/>
        <w:keepLines/>
        <w:spacing w:line="360" w:lineRule="auto" w:before="0" w:after="0"/>
        <w:ind w:firstLine="480"/>
        <w:jc w:val="both"/>
      </w:pPr>
      <w:r>
        <w:rPr>
          <w:rFonts w:ascii="Times New Roman" w:hAnsi="Times New Roman" w:eastAsia="宋体"/>
          <w:sz w:val="24"/>
        </w:rPr>
        <w:t>汽油泵房按第二类防雷建筑物设防。公路装车罩棚采用接闪网保护；进入装车区的易燃液体管道在入口处接地，接地电阻不大于20 Ω。爆炸危险区域内法兰少于5根螺栓或处于腐蚀环境时设置跨接线；平行金属管道净距小于100 mm时，每隔不大于30 m跨接，交叉净距小于100 mm时在交叉处跨接。</w:t>
      </w:r>
    </w:p>
    <w:p>
      <w:pPr>
        <w:pStyle w:val="6"/>
        <w:keepNext/>
        <w:pageBreakBefore w:val="0"/>
        <w:spacing w:before="120" w:after="60"/>
        <w:jc w:val="center"/>
      </w:pPr>
      <w:r>
        <w:rPr>
          <w:rFonts w:ascii="Times New Roman" w:hAnsi="Times New Roman" w:eastAsia="宋体"/>
          <w:b/>
          <w:sz w:val="22"/>
        </w:rPr>
        <w:t>表7-6 主要设施防雷接地配置</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2835"/>
        <w:gridCol w:w="2722"/>
        <w:gridCol w:w="1644"/>
      </w:tblGrid>
      <w:tr>
        <w:trPr>
          <w:tblHeader w:val="true"/>
        </w:trPr>
        <w:tc>
          <w:tcPr>
            <w:tcW w:type="dxa" w:w="1701"/>
            <w:vAlign w:val="center"/>
          </w:tcPr>
          <w:p>
            <w:pPr>
              <w:keepNext/>
              <w:spacing w:before="0" w:after="0" w:line="240" w:lineRule="auto"/>
              <w:jc w:val="center"/>
            </w:pPr>
            <w:r/>
            <w:r>
              <w:rPr>
                <w:rFonts w:ascii="Times New Roman" w:hAnsi="Times New Roman" w:eastAsia="宋体"/>
                <w:b/>
                <w:sz w:val="18"/>
              </w:rPr>
              <w:t>设施</w:t>
            </w:r>
          </w:p>
        </w:tc>
        <w:tc>
          <w:tcPr>
            <w:tcW w:type="dxa" w:w="2835"/>
            <w:vAlign w:val="center"/>
          </w:tcPr>
          <w:p>
            <w:pPr>
              <w:keepNext/>
              <w:spacing w:before="0" w:after="0" w:line="240" w:lineRule="auto"/>
              <w:jc w:val="center"/>
            </w:pPr>
            <w:r/>
            <w:r>
              <w:rPr>
                <w:rFonts w:ascii="Times New Roman" w:hAnsi="Times New Roman" w:eastAsia="宋体"/>
                <w:b/>
                <w:sz w:val="18"/>
              </w:rPr>
              <w:t>防雷措施</w:t>
            </w:r>
          </w:p>
        </w:tc>
        <w:tc>
          <w:tcPr>
            <w:tcW w:type="dxa" w:w="2722"/>
            <w:vAlign w:val="center"/>
          </w:tcPr>
          <w:p>
            <w:pPr>
              <w:keepNext/>
              <w:spacing w:before="0" w:after="0" w:line="240" w:lineRule="auto"/>
              <w:jc w:val="center"/>
            </w:pPr>
            <w:r/>
            <w:r>
              <w:rPr>
                <w:rFonts w:ascii="Times New Roman" w:hAnsi="Times New Roman" w:eastAsia="宋体"/>
                <w:b/>
                <w:sz w:val="18"/>
              </w:rPr>
              <w:t>数量或间距</w:t>
            </w:r>
          </w:p>
        </w:tc>
        <w:tc>
          <w:tcPr>
            <w:tcW w:type="dxa" w:w="1644"/>
            <w:vAlign w:val="center"/>
          </w:tcPr>
          <w:p>
            <w:pPr>
              <w:keepNext/>
              <w:spacing w:before="0" w:after="0" w:line="240" w:lineRule="auto"/>
              <w:jc w:val="center"/>
            </w:pPr>
            <w:r/>
            <w:r>
              <w:rPr>
                <w:rFonts w:ascii="Times New Roman" w:hAnsi="Times New Roman" w:eastAsia="宋体"/>
                <w:b/>
                <w:sz w:val="18"/>
              </w:rPr>
              <w:t>电阻控制</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D24 m储罐</w:t>
            </w:r>
          </w:p>
        </w:tc>
        <w:tc>
          <w:tcPr>
            <w:tcW w:type="dxa" w:w="2835"/>
            <w:vAlign w:val="center"/>
          </w:tcPr>
          <w:p>
            <w:pPr>
              <w:spacing w:before="0" w:after="0" w:line="240" w:lineRule="auto"/>
              <w:jc w:val="center"/>
            </w:pPr>
            <w:r/>
            <w:r>
              <w:rPr>
                <w:rFonts w:ascii="Times New Roman" w:hAnsi="Times New Roman" w:eastAsia="宋体"/>
                <w:b w:val="0"/>
                <w:sz w:val="18"/>
              </w:rPr>
              <w:t>罐体自然接闪、环形接地</w:t>
            </w:r>
          </w:p>
        </w:tc>
        <w:tc>
          <w:tcPr>
            <w:tcW w:type="dxa" w:w="2722"/>
            <w:vAlign w:val="center"/>
          </w:tcPr>
          <w:p>
            <w:pPr>
              <w:spacing w:before="0" w:after="0" w:line="240" w:lineRule="auto"/>
              <w:jc w:val="center"/>
            </w:pPr>
            <w:r/>
            <w:r>
              <w:rPr>
                <w:rFonts w:ascii="Times New Roman" w:hAnsi="Times New Roman" w:eastAsia="宋体"/>
                <w:b w:val="0"/>
                <w:sz w:val="18"/>
              </w:rPr>
              <w:t>3处/罐，间距25.13 m</w:t>
            </w:r>
          </w:p>
        </w:tc>
        <w:tc>
          <w:tcPr>
            <w:tcW w:type="dxa" w:w="1644"/>
            <w:vAlign w:val="center"/>
          </w:tcPr>
          <w:p>
            <w:pPr>
              <w:spacing w:before="0" w:after="0" w:line="240" w:lineRule="auto"/>
              <w:jc w:val="center"/>
            </w:pPr>
            <w:r/>
            <w:r>
              <w:rPr>
                <w:rFonts w:ascii="Times New Roman" w:hAnsi="Times New Roman" w:eastAsia="宋体"/>
                <w:b w:val="0"/>
                <w:sz w:val="18"/>
              </w:rPr>
              <w:t>≤10 Ω</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汽油内浮顶</w:t>
            </w:r>
          </w:p>
        </w:tc>
        <w:tc>
          <w:tcPr>
            <w:tcW w:type="dxa" w:w="2835"/>
            <w:vAlign w:val="center"/>
          </w:tcPr>
          <w:p>
            <w:pPr>
              <w:spacing w:before="0" w:after="0" w:line="240" w:lineRule="auto"/>
              <w:jc w:val="center"/>
            </w:pPr>
            <w:r/>
            <w:r>
              <w:rPr>
                <w:rFonts w:ascii="Times New Roman" w:hAnsi="Times New Roman" w:eastAsia="宋体"/>
                <w:b w:val="0"/>
                <w:sz w:val="18"/>
              </w:rPr>
              <w:t>浮盘与罐体电气连接</w:t>
            </w:r>
          </w:p>
        </w:tc>
        <w:tc>
          <w:tcPr>
            <w:tcW w:type="dxa" w:w="2722"/>
            <w:vAlign w:val="center"/>
          </w:tcPr>
          <w:p>
            <w:pPr>
              <w:spacing w:before="0" w:after="0" w:line="240" w:lineRule="auto"/>
              <w:jc w:val="center"/>
            </w:pPr>
            <w:r/>
            <w:r>
              <w:rPr>
                <w:rFonts w:ascii="Times New Roman" w:hAnsi="Times New Roman" w:eastAsia="宋体"/>
                <w:b w:val="0"/>
                <w:sz w:val="18"/>
              </w:rPr>
              <w:t>2根，直径≥5 mm</w:t>
            </w:r>
          </w:p>
        </w:tc>
        <w:tc>
          <w:tcPr>
            <w:tcW w:type="dxa" w:w="1644"/>
            <w:vAlign w:val="center"/>
          </w:tcPr>
          <w:p>
            <w:pPr>
              <w:spacing w:before="0" w:after="0" w:line="240" w:lineRule="auto"/>
              <w:jc w:val="center"/>
            </w:pPr>
            <w:r/>
            <w:r>
              <w:rPr>
                <w:rFonts w:ascii="Times New Roman" w:hAnsi="Times New Roman" w:eastAsia="宋体"/>
                <w:b w:val="0"/>
                <w:sz w:val="18"/>
              </w:rPr>
              <w:t>与罐体共用</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汽油泵房</w:t>
            </w:r>
          </w:p>
        </w:tc>
        <w:tc>
          <w:tcPr>
            <w:tcW w:type="dxa" w:w="2835"/>
            <w:vAlign w:val="center"/>
          </w:tcPr>
          <w:p>
            <w:pPr>
              <w:spacing w:before="0" w:after="0" w:line="240" w:lineRule="auto"/>
              <w:jc w:val="center"/>
            </w:pPr>
            <w:r/>
            <w:r>
              <w:rPr>
                <w:rFonts w:ascii="Times New Roman" w:hAnsi="Times New Roman" w:eastAsia="宋体"/>
                <w:b w:val="0"/>
                <w:sz w:val="18"/>
              </w:rPr>
              <w:t>第二类防雷建筑物</w:t>
            </w:r>
          </w:p>
        </w:tc>
        <w:tc>
          <w:tcPr>
            <w:tcW w:type="dxa" w:w="2722"/>
            <w:vAlign w:val="center"/>
          </w:tcPr>
          <w:p>
            <w:pPr>
              <w:spacing w:before="0" w:after="0" w:line="240" w:lineRule="auto"/>
              <w:jc w:val="center"/>
            </w:pPr>
            <w:r/>
            <w:r>
              <w:rPr>
                <w:rFonts w:ascii="Times New Roman" w:hAnsi="Times New Roman" w:eastAsia="宋体"/>
                <w:b w:val="0"/>
                <w:sz w:val="18"/>
              </w:rPr>
              <w:t>接闪、引下及接地完整</w:t>
            </w:r>
          </w:p>
        </w:tc>
        <w:tc>
          <w:tcPr>
            <w:tcW w:type="dxa" w:w="1644"/>
            <w:vAlign w:val="center"/>
          </w:tcPr>
          <w:p>
            <w:pPr>
              <w:spacing w:before="0" w:after="0" w:line="240" w:lineRule="auto"/>
              <w:jc w:val="center"/>
            </w:pPr>
            <w:r/>
            <w:r>
              <w:rPr>
                <w:rFonts w:ascii="Times New Roman" w:hAnsi="Times New Roman" w:eastAsia="宋体"/>
                <w:b w:val="0"/>
                <w:sz w:val="18"/>
              </w:rPr>
              <w:t>按GB 50057执行</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装车罩棚</w:t>
            </w:r>
          </w:p>
        </w:tc>
        <w:tc>
          <w:tcPr>
            <w:tcW w:type="dxa" w:w="2835"/>
            <w:vAlign w:val="center"/>
          </w:tcPr>
          <w:p>
            <w:pPr>
              <w:spacing w:before="0" w:after="0" w:line="240" w:lineRule="auto"/>
              <w:jc w:val="center"/>
            </w:pPr>
            <w:r/>
            <w:r>
              <w:rPr>
                <w:rFonts w:ascii="Times New Roman" w:hAnsi="Times New Roman" w:eastAsia="宋体"/>
                <w:b w:val="0"/>
                <w:sz w:val="18"/>
              </w:rPr>
              <w:t>接闪网保护</w:t>
            </w:r>
          </w:p>
        </w:tc>
        <w:tc>
          <w:tcPr>
            <w:tcW w:type="dxa" w:w="2722"/>
            <w:vAlign w:val="center"/>
          </w:tcPr>
          <w:p>
            <w:pPr>
              <w:spacing w:before="0" w:after="0" w:line="240" w:lineRule="auto"/>
              <w:jc w:val="center"/>
            </w:pPr>
            <w:r/>
            <w:r>
              <w:rPr>
                <w:rFonts w:ascii="Times New Roman" w:hAnsi="Times New Roman" w:eastAsia="宋体"/>
                <w:b w:val="0"/>
                <w:sz w:val="18"/>
              </w:rPr>
              <w:t>管道入口接地</w:t>
            </w:r>
          </w:p>
        </w:tc>
        <w:tc>
          <w:tcPr>
            <w:tcW w:type="dxa" w:w="1644"/>
            <w:vAlign w:val="center"/>
          </w:tcPr>
          <w:p>
            <w:pPr>
              <w:spacing w:before="0" w:after="0" w:line="240" w:lineRule="auto"/>
              <w:jc w:val="center"/>
            </w:pPr>
            <w:r/>
            <w:r>
              <w:rPr>
                <w:rFonts w:ascii="Times New Roman" w:hAnsi="Times New Roman" w:eastAsia="宋体"/>
                <w:b w:val="0"/>
                <w:sz w:val="18"/>
              </w:rPr>
              <w:t>≤20 Ω</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工艺管道</w:t>
            </w:r>
          </w:p>
        </w:tc>
        <w:tc>
          <w:tcPr>
            <w:tcW w:type="dxa" w:w="2835"/>
            <w:vAlign w:val="center"/>
          </w:tcPr>
          <w:p>
            <w:pPr>
              <w:spacing w:before="0" w:after="0" w:line="240" w:lineRule="auto"/>
              <w:jc w:val="center"/>
            </w:pPr>
            <w:r/>
            <w:r>
              <w:rPr>
                <w:rFonts w:ascii="Times New Roman" w:hAnsi="Times New Roman" w:eastAsia="宋体"/>
                <w:b w:val="0"/>
                <w:sz w:val="18"/>
              </w:rPr>
              <w:t>法兰、平行及交叉管道跨接</w:t>
            </w:r>
          </w:p>
        </w:tc>
        <w:tc>
          <w:tcPr>
            <w:tcW w:type="dxa" w:w="2722"/>
            <w:vAlign w:val="center"/>
          </w:tcPr>
          <w:p>
            <w:pPr>
              <w:spacing w:before="0" w:after="0" w:line="240" w:lineRule="auto"/>
              <w:jc w:val="center"/>
            </w:pPr>
            <w:r/>
            <w:r>
              <w:rPr>
                <w:rFonts w:ascii="Times New Roman" w:hAnsi="Times New Roman" w:eastAsia="宋体"/>
                <w:b w:val="0"/>
                <w:sz w:val="18"/>
              </w:rPr>
              <w:t>直线段200～300 m接地</w:t>
            </w:r>
          </w:p>
        </w:tc>
        <w:tc>
          <w:tcPr>
            <w:tcW w:type="dxa" w:w="1644"/>
            <w:vAlign w:val="center"/>
          </w:tcPr>
          <w:p>
            <w:pPr>
              <w:spacing w:before="0" w:after="0" w:line="240" w:lineRule="auto"/>
              <w:jc w:val="center"/>
            </w:pPr>
            <w:r/>
            <w:r>
              <w:rPr>
                <w:rFonts w:ascii="Times New Roman" w:hAnsi="Times New Roman" w:eastAsia="宋体"/>
                <w:b w:val="0"/>
                <w:sz w:val="18"/>
              </w:rPr>
              <w:t>≤30 Ω</w:t>
            </w:r>
          </w:p>
        </w:tc>
      </w:tr>
    </w:tbl>
    <w:p>
      <w:pPr>
        <w:spacing w:before="0" w:after="0"/>
      </w:pPr>
    </w:p>
    <w:p>
      <w:pPr>
        <w:keepNext w:val="0"/>
        <w:keepLines/>
        <w:spacing w:line="360" w:lineRule="auto" w:before="0" w:after="0"/>
        <w:ind w:firstLine="480"/>
        <w:jc w:val="both"/>
      </w:pPr>
      <w:r>
        <w:rPr>
          <w:rFonts w:ascii="Times New Roman" w:hAnsi="Times New Roman" w:eastAsia="宋体"/>
          <w:sz w:val="24"/>
        </w:rPr>
        <w:t>防雷装置竣工及运行检测执行GB/T 21431—2023，重点检测储罐接地、内浮顶跨接、法兰跨接、浪涌保护器及仪表屏蔽接地的连续性和接地电阻。</w:t>
      </w:r>
    </w:p>
    <w:p>
      <w:pPr>
        <w:pStyle w:val="9"/>
        <w:keepNext/>
        <w:spacing w:before="60" w:after="60" w:line="360" w:lineRule="auto"/>
        <w:ind w:firstLine="480"/>
        <w:jc w:val="left"/>
      </w:pPr>
      <w:r>
        <w:rPr>
          <w:rFonts w:ascii="Times New Roman" w:hAnsi="Times New Roman" w:eastAsia="黑体"/>
          <w:b/>
          <w:sz w:val="28"/>
        </w:rPr>
        <w:t>7.3.2 防静电措施</w:t>
      </w:r>
    </w:p>
    <w:p>
      <w:pPr>
        <w:keepNext w:val="0"/>
        <w:keepLines/>
        <w:spacing w:line="360" w:lineRule="auto" w:before="0" w:after="0"/>
        <w:ind w:firstLine="480"/>
        <w:jc w:val="both"/>
      </w:pPr>
      <w:r>
        <w:rPr>
          <w:rFonts w:ascii="Times New Roman" w:hAnsi="Times New Roman" w:eastAsia="宋体"/>
          <w:sz w:val="24"/>
        </w:rPr>
        <w:t>防静电设计执行GB 50074—2014第14.3节及GB 12158—2024。储罐、管道、泵、过滤器、流量计、装车鹤管和汽车罐车构成连续等电位系统。储罐防雷接地兼作防静电接地；地上工艺管道在始端、末端、分支处及直线段每隔200～300 m接地，接地电阻不大于30 Ω。</w:t>
      </w:r>
    </w:p>
    <w:p>
      <w:pPr>
        <w:keepNext w:val="0"/>
        <w:keepLines/>
        <w:spacing w:line="360" w:lineRule="auto" w:before="0" w:after="0"/>
        <w:ind w:firstLine="480"/>
        <w:jc w:val="both"/>
      </w:pPr>
      <w:r>
        <w:rPr>
          <w:rFonts w:ascii="Times New Roman" w:hAnsi="Times New Roman" w:eastAsia="宋体"/>
          <w:sz w:val="24"/>
        </w:rPr>
        <w:t>每个汽车装车鹤位设置可检测接地状态的防静电接地仪。接地有效、油气回收接口连接和防溢流信号正常后，定量装车系统方可启动；接地失效、溢油报警、油气接口脱开或可燃气体高报警时立即联锁关闭装车阀并停泵。</w:t>
      </w:r>
    </w:p>
    <w:p>
      <w:pPr>
        <w:keepNext w:val="0"/>
        <w:keepLines/>
        <w:spacing w:line="360" w:lineRule="auto" w:before="0" w:after="0"/>
        <w:ind w:firstLine="480"/>
        <w:jc w:val="both"/>
      </w:pPr>
      <w:r>
        <w:rPr>
          <w:rFonts w:ascii="Times New Roman" w:hAnsi="Times New Roman" w:eastAsia="宋体"/>
          <w:sz w:val="24"/>
        </w:rPr>
        <w:t>泵房门外、上罐扶梯入口和装车平台扶梯入口设置人体静电释放装置。汽油精密过滤器出口至装车入口保证不少于30 s的静电缓和时间。第6章确定装车支管流量50 m³/h、DN100，流速为1.77 m/s，所需最小缓和直管长度为：</w:t>
      </w:r>
    </w:p>
    <w:p>
      <w:pPr>
        <w:tabs>
          <w:tab w:pos="4450" w:val="center"/>
          <w:tab w:pos="8901" w:val="right"/>
        </w:tabs>
        <w:spacing w:before="40" w:after="40" w:line="276" w:lineRule="auto"/>
        <w:ind w:firstLine="0"/>
      </w:pPr>
      <w:r>
        <w:tab/>
      </w:r>
      <m:oMath>
        <m:r>
          <m:t>L=vt=1.77×30=53.10</m:t>
        </m:r>
        <m:r>
          <m:rPr>
            <m:sty m:val="p"/>
          </m:rPr>
          <m:t> </m:t>
        </m:r>
        <m:r>
          <m:t>m</m:t>
        </m:r>
      </m:oMath>
      <w:r>
        <w:rPr>
          <w:rFonts w:ascii="Times New Roman" w:hAnsi="Times New Roman" w:eastAsia="宋体"/>
          <w:sz w:val="21"/>
        </w:rPr>
        <w:tab/>
        <w:t>(7-33)</w:t>
      </w:r>
    </w:p>
    <w:p>
      <w:pPr>
        <w:keepNext w:val="0"/>
        <w:keepLines/>
        <w:spacing w:line="360" w:lineRule="auto" w:before="0" w:after="0"/>
        <w:ind w:firstLine="480"/>
        <w:jc w:val="both"/>
      </w:pPr>
      <w:r>
        <w:rPr>
          <w:rFonts w:ascii="Times New Roman" w:hAnsi="Times New Roman" w:eastAsia="宋体"/>
          <w:sz w:val="24"/>
        </w:rPr>
        <w:t>过滤器出口至装车入口设置不短于54 m的等径直管段，满足30 s缓和时间。取样器、检尺和清罐工具采用不产生火花且能可靠导电的材料；移动接地线采用带绝缘护套的软铜导线，并通过防爆开关与接地装置连接。</w:t>
      </w:r>
    </w:p>
    <w:p>
      <w:pPr>
        <w:pStyle w:val="6"/>
        <w:keepNext/>
        <w:pageBreakBefore w:val="0"/>
        <w:spacing w:before="120" w:after="60"/>
        <w:jc w:val="center"/>
      </w:pPr>
      <w:r>
        <w:rPr>
          <w:rFonts w:ascii="Times New Roman" w:hAnsi="Times New Roman" w:eastAsia="宋体"/>
          <w:b/>
          <w:sz w:val="22"/>
        </w:rPr>
        <w:t>表7-7 主要作业环节防静电控制</w:t>
      </w:r>
    </w:p>
    <w:tbl>
      <w:tblPr>
        <w:tblW w:type="dxa" w:w="890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588"/>
        <w:gridCol w:w="2041"/>
        <w:gridCol w:w="2948"/>
        <w:gridCol w:w="2325"/>
      </w:tblGrid>
      <w:tr>
        <w:trPr>
          <w:tblHeader w:val="true"/>
        </w:trPr>
        <w:tc>
          <w:tcPr>
            <w:tcW w:type="dxa" w:w="1588"/>
            <w:vAlign w:val="center"/>
          </w:tcPr>
          <w:p>
            <w:pPr>
              <w:keepNext/>
              <w:spacing w:before="0" w:after="0" w:line="240" w:lineRule="auto"/>
              <w:jc w:val="center"/>
            </w:pPr>
            <w:r/>
            <w:r>
              <w:rPr>
                <w:rFonts w:ascii="Times New Roman" w:hAnsi="Times New Roman" w:eastAsia="宋体"/>
                <w:b/>
                <w:sz w:val="18"/>
              </w:rPr>
              <w:t>作业环节</w:t>
            </w:r>
          </w:p>
        </w:tc>
        <w:tc>
          <w:tcPr>
            <w:tcW w:type="dxa" w:w="2041"/>
            <w:vAlign w:val="center"/>
          </w:tcPr>
          <w:p>
            <w:pPr>
              <w:keepNext/>
              <w:spacing w:before="0" w:after="0" w:line="240" w:lineRule="auto"/>
              <w:jc w:val="center"/>
            </w:pPr>
            <w:r/>
            <w:r>
              <w:rPr>
                <w:rFonts w:ascii="Times New Roman" w:hAnsi="Times New Roman" w:eastAsia="宋体"/>
                <w:b/>
                <w:sz w:val="18"/>
              </w:rPr>
              <w:t>静电风险</w:t>
            </w:r>
          </w:p>
        </w:tc>
        <w:tc>
          <w:tcPr>
            <w:tcW w:type="dxa" w:w="2948"/>
            <w:vAlign w:val="center"/>
          </w:tcPr>
          <w:p>
            <w:pPr>
              <w:keepNext/>
              <w:spacing w:before="0" w:after="0" w:line="240" w:lineRule="auto"/>
              <w:jc w:val="center"/>
            </w:pPr>
            <w:r/>
            <w:r>
              <w:rPr>
                <w:rFonts w:ascii="Times New Roman" w:hAnsi="Times New Roman" w:eastAsia="宋体"/>
                <w:b/>
                <w:sz w:val="18"/>
              </w:rPr>
              <w:t>设计措施</w:t>
            </w:r>
          </w:p>
        </w:tc>
        <w:tc>
          <w:tcPr>
            <w:tcW w:type="dxa" w:w="2325"/>
            <w:vAlign w:val="center"/>
          </w:tcPr>
          <w:p>
            <w:pPr>
              <w:keepNext/>
              <w:spacing w:before="0" w:after="0" w:line="240" w:lineRule="auto"/>
              <w:jc w:val="center"/>
            </w:pPr>
            <w:r/>
            <w:r>
              <w:rPr>
                <w:rFonts w:ascii="Times New Roman" w:hAnsi="Times New Roman" w:eastAsia="宋体"/>
                <w:b/>
                <w:sz w:val="18"/>
              </w:rPr>
              <w:t>联锁或管理</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8"/>
              </w:rPr>
              <w:t>管道收油</w:t>
            </w:r>
          </w:p>
        </w:tc>
        <w:tc>
          <w:tcPr>
            <w:tcW w:type="dxa" w:w="2041"/>
            <w:vAlign w:val="center"/>
          </w:tcPr>
          <w:p>
            <w:pPr>
              <w:spacing w:before="0" w:after="0" w:line="240" w:lineRule="auto"/>
              <w:jc w:val="center"/>
            </w:pPr>
            <w:r/>
            <w:r>
              <w:rPr>
                <w:rFonts w:ascii="Times New Roman" w:hAnsi="Times New Roman" w:eastAsia="宋体"/>
                <w:b w:val="0"/>
                <w:sz w:val="18"/>
              </w:rPr>
              <w:t>高速流动、界面带电</w:t>
            </w:r>
          </w:p>
        </w:tc>
        <w:tc>
          <w:tcPr>
            <w:tcW w:type="dxa" w:w="2948"/>
            <w:vAlign w:val="center"/>
          </w:tcPr>
          <w:p>
            <w:pPr>
              <w:spacing w:before="0" w:after="0" w:line="240" w:lineRule="auto"/>
              <w:jc w:val="center"/>
            </w:pPr>
            <w:r/>
            <w:r>
              <w:rPr>
                <w:rFonts w:ascii="Times New Roman" w:hAnsi="Times New Roman" w:eastAsia="宋体"/>
                <w:b w:val="0"/>
                <w:sz w:val="18"/>
              </w:rPr>
              <w:t>液下进油、低流量启动、等电位</w:t>
            </w:r>
          </w:p>
        </w:tc>
        <w:tc>
          <w:tcPr>
            <w:tcW w:type="dxa" w:w="2325"/>
            <w:vAlign w:val="center"/>
          </w:tcPr>
          <w:p>
            <w:pPr>
              <w:spacing w:before="0" w:after="0" w:line="240" w:lineRule="auto"/>
              <w:jc w:val="center"/>
            </w:pPr>
            <w:r/>
            <w:r>
              <w:rPr>
                <w:rFonts w:ascii="Times New Roman" w:hAnsi="Times New Roman" w:eastAsia="宋体"/>
                <w:b w:val="0"/>
                <w:sz w:val="18"/>
              </w:rPr>
              <w:t>压力、流量及高高液位联锁</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8"/>
              </w:rPr>
              <w:t>储罐运行</w:t>
            </w:r>
          </w:p>
        </w:tc>
        <w:tc>
          <w:tcPr>
            <w:tcW w:type="dxa" w:w="2041"/>
            <w:vAlign w:val="center"/>
          </w:tcPr>
          <w:p>
            <w:pPr>
              <w:spacing w:before="0" w:after="0" w:line="240" w:lineRule="auto"/>
              <w:jc w:val="center"/>
            </w:pPr>
            <w:r/>
            <w:r>
              <w:rPr>
                <w:rFonts w:ascii="Times New Roman" w:hAnsi="Times New Roman" w:eastAsia="宋体"/>
                <w:b w:val="0"/>
                <w:sz w:val="18"/>
              </w:rPr>
              <w:t>浮盘与罐体电位差</w:t>
            </w:r>
          </w:p>
        </w:tc>
        <w:tc>
          <w:tcPr>
            <w:tcW w:type="dxa" w:w="2948"/>
            <w:vAlign w:val="center"/>
          </w:tcPr>
          <w:p>
            <w:pPr>
              <w:spacing w:before="0" w:after="0" w:line="240" w:lineRule="auto"/>
              <w:jc w:val="center"/>
            </w:pPr>
            <w:r/>
            <w:r>
              <w:rPr>
                <w:rFonts w:ascii="Times New Roman" w:hAnsi="Times New Roman" w:eastAsia="宋体"/>
                <w:b w:val="0"/>
                <w:sz w:val="18"/>
              </w:rPr>
              <w:t>浮盘跨接、罐体多点接地</w:t>
            </w:r>
          </w:p>
        </w:tc>
        <w:tc>
          <w:tcPr>
            <w:tcW w:type="dxa" w:w="2325"/>
            <w:vAlign w:val="center"/>
          </w:tcPr>
          <w:p>
            <w:pPr>
              <w:spacing w:before="0" w:after="0" w:line="240" w:lineRule="auto"/>
              <w:jc w:val="center"/>
            </w:pPr>
            <w:r/>
            <w:r>
              <w:rPr>
                <w:rFonts w:ascii="Times New Roman" w:hAnsi="Times New Roman" w:eastAsia="宋体"/>
                <w:b w:val="0"/>
                <w:sz w:val="18"/>
              </w:rPr>
              <w:t>定期检测连续性</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8"/>
              </w:rPr>
              <w:t>泵与过滤</w:t>
            </w:r>
          </w:p>
        </w:tc>
        <w:tc>
          <w:tcPr>
            <w:tcW w:type="dxa" w:w="2041"/>
            <w:vAlign w:val="center"/>
          </w:tcPr>
          <w:p>
            <w:pPr>
              <w:spacing w:before="0" w:after="0" w:line="240" w:lineRule="auto"/>
              <w:jc w:val="center"/>
            </w:pPr>
            <w:r/>
            <w:r>
              <w:rPr>
                <w:rFonts w:ascii="Times New Roman" w:hAnsi="Times New Roman" w:eastAsia="宋体"/>
                <w:b w:val="0"/>
                <w:sz w:val="18"/>
              </w:rPr>
              <w:t>旋转及过滤带电</w:t>
            </w:r>
          </w:p>
        </w:tc>
        <w:tc>
          <w:tcPr>
            <w:tcW w:type="dxa" w:w="2948"/>
            <w:vAlign w:val="center"/>
          </w:tcPr>
          <w:p>
            <w:pPr>
              <w:spacing w:before="0" w:after="0" w:line="240" w:lineRule="auto"/>
              <w:jc w:val="center"/>
            </w:pPr>
            <w:r/>
            <w:r>
              <w:rPr>
                <w:rFonts w:ascii="Times New Roman" w:hAnsi="Times New Roman" w:eastAsia="宋体"/>
                <w:b w:val="0"/>
                <w:sz w:val="18"/>
              </w:rPr>
              <w:t>泵壳、过滤器、管道跨接</w:t>
            </w:r>
          </w:p>
        </w:tc>
        <w:tc>
          <w:tcPr>
            <w:tcW w:type="dxa" w:w="2325"/>
            <w:vAlign w:val="center"/>
          </w:tcPr>
          <w:p>
            <w:pPr>
              <w:spacing w:before="0" w:after="0" w:line="240" w:lineRule="auto"/>
              <w:jc w:val="center"/>
            </w:pPr>
            <w:r/>
            <w:r>
              <w:rPr>
                <w:rFonts w:ascii="Times New Roman" w:hAnsi="Times New Roman" w:eastAsia="宋体"/>
                <w:b w:val="0"/>
                <w:sz w:val="18"/>
              </w:rPr>
              <w:t>过滤后缓和时间≥30 s</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8"/>
              </w:rPr>
              <w:t>汽车装车</w:t>
            </w:r>
          </w:p>
        </w:tc>
        <w:tc>
          <w:tcPr>
            <w:tcW w:type="dxa" w:w="2041"/>
            <w:vAlign w:val="center"/>
          </w:tcPr>
          <w:p>
            <w:pPr>
              <w:spacing w:before="0" w:after="0" w:line="240" w:lineRule="auto"/>
              <w:jc w:val="center"/>
            </w:pPr>
            <w:r/>
            <w:r>
              <w:rPr>
                <w:rFonts w:ascii="Times New Roman" w:hAnsi="Times New Roman" w:eastAsia="宋体"/>
                <w:b w:val="0"/>
                <w:sz w:val="18"/>
              </w:rPr>
              <w:t>罐车绝缘、液体高速进入</w:t>
            </w:r>
          </w:p>
        </w:tc>
        <w:tc>
          <w:tcPr>
            <w:tcW w:type="dxa" w:w="2948"/>
            <w:vAlign w:val="center"/>
          </w:tcPr>
          <w:p>
            <w:pPr>
              <w:spacing w:before="0" w:after="0" w:line="240" w:lineRule="auto"/>
              <w:jc w:val="center"/>
            </w:pPr>
            <w:r/>
            <w:r>
              <w:rPr>
                <w:rFonts w:ascii="Times New Roman" w:hAnsi="Times New Roman" w:eastAsia="宋体"/>
                <w:b w:val="0"/>
                <w:sz w:val="18"/>
              </w:rPr>
              <w:t>底部装车、接地检测、油气回收</w:t>
            </w:r>
          </w:p>
        </w:tc>
        <w:tc>
          <w:tcPr>
            <w:tcW w:type="dxa" w:w="2325"/>
            <w:vAlign w:val="center"/>
          </w:tcPr>
          <w:p>
            <w:pPr>
              <w:spacing w:before="0" w:after="0" w:line="240" w:lineRule="auto"/>
              <w:jc w:val="center"/>
            </w:pPr>
            <w:r/>
            <w:r>
              <w:rPr>
                <w:rFonts w:ascii="Times New Roman" w:hAnsi="Times New Roman" w:eastAsia="宋体"/>
                <w:b w:val="0"/>
                <w:sz w:val="18"/>
              </w:rPr>
              <w:t>接地失效立即停装</w:t>
            </w:r>
          </w:p>
        </w:tc>
      </w:tr>
      <w:tr>
        <w:trPr>
          <w:cantSplit w:val="1"/>
        </w:trPr>
        <w:tc>
          <w:tcPr>
            <w:tcW w:type="dxa" w:w="1588"/>
            <w:vAlign w:val="center"/>
          </w:tcPr>
          <w:p>
            <w:pPr>
              <w:spacing w:before="0" w:after="0" w:line="240" w:lineRule="auto"/>
              <w:jc w:val="center"/>
            </w:pPr>
            <w:r/>
            <w:r>
              <w:rPr>
                <w:rFonts w:ascii="Times New Roman" w:hAnsi="Times New Roman" w:eastAsia="宋体"/>
                <w:b w:val="0"/>
                <w:sz w:val="18"/>
              </w:rPr>
              <w:t>人员操作</w:t>
            </w:r>
          </w:p>
        </w:tc>
        <w:tc>
          <w:tcPr>
            <w:tcW w:type="dxa" w:w="2041"/>
            <w:vAlign w:val="center"/>
          </w:tcPr>
          <w:p>
            <w:pPr>
              <w:spacing w:before="0" w:after="0" w:line="240" w:lineRule="auto"/>
              <w:jc w:val="center"/>
            </w:pPr>
            <w:r/>
            <w:r>
              <w:rPr>
                <w:rFonts w:ascii="Times New Roman" w:hAnsi="Times New Roman" w:eastAsia="宋体"/>
                <w:b w:val="0"/>
                <w:sz w:val="18"/>
              </w:rPr>
              <w:t>人体带电</w:t>
            </w:r>
          </w:p>
        </w:tc>
        <w:tc>
          <w:tcPr>
            <w:tcW w:type="dxa" w:w="2948"/>
            <w:vAlign w:val="center"/>
          </w:tcPr>
          <w:p>
            <w:pPr>
              <w:spacing w:before="0" w:after="0" w:line="240" w:lineRule="auto"/>
              <w:jc w:val="center"/>
            </w:pPr>
            <w:r/>
            <w:r>
              <w:rPr>
                <w:rFonts w:ascii="Times New Roman" w:hAnsi="Times New Roman" w:eastAsia="宋体"/>
                <w:b w:val="0"/>
                <w:sz w:val="18"/>
              </w:rPr>
              <w:t>入口人体静电释放、防静电服鞋</w:t>
            </w:r>
          </w:p>
        </w:tc>
        <w:tc>
          <w:tcPr>
            <w:tcW w:type="dxa" w:w="2325"/>
            <w:vAlign w:val="center"/>
          </w:tcPr>
          <w:p>
            <w:pPr>
              <w:spacing w:before="0" w:after="0" w:line="240" w:lineRule="auto"/>
              <w:jc w:val="center"/>
            </w:pPr>
            <w:r/>
            <w:r>
              <w:rPr>
                <w:rFonts w:ascii="Times New Roman" w:hAnsi="Times New Roman" w:eastAsia="宋体"/>
                <w:b w:val="0"/>
                <w:sz w:val="18"/>
              </w:rPr>
              <w:t>进入危险区前释放静电</w:t>
            </w:r>
          </w:p>
        </w:tc>
      </w:tr>
    </w:tbl>
    <w:p>
      <w:pPr>
        <w:spacing w:before="0" w:after="0"/>
      </w:pPr>
    </w:p>
    <w:p>
      <w:pPr>
        <w:pStyle w:val="8"/>
        <w:keepNext/>
        <w:spacing w:before="60" w:after="60" w:line="360" w:lineRule="auto"/>
        <w:jc w:val="left"/>
      </w:pPr>
      <w:r>
        <w:rPr>
          <w:rFonts w:ascii="Times New Roman" w:hAnsi="Times New Roman" w:eastAsia="黑体"/>
          <w:b/>
          <w:sz w:val="30"/>
        </w:rPr>
        <w:t>7.4 HSE管理体系</w:t>
      </w:r>
    </w:p>
    <w:p>
      <w:pPr>
        <w:pStyle w:val="9"/>
        <w:keepNext/>
        <w:spacing w:before="60" w:after="60" w:line="360" w:lineRule="auto"/>
        <w:ind w:firstLine="480"/>
        <w:jc w:val="left"/>
      </w:pPr>
      <w:r>
        <w:rPr>
          <w:rFonts w:ascii="Times New Roman" w:hAnsi="Times New Roman" w:eastAsia="黑体"/>
          <w:b/>
          <w:sz w:val="28"/>
        </w:rPr>
        <w:t>7.4.1 职业健康</w:t>
      </w:r>
    </w:p>
    <w:p>
      <w:pPr>
        <w:keepNext w:val="0"/>
        <w:keepLines/>
        <w:spacing w:line="360" w:lineRule="auto" w:before="0" w:after="0"/>
        <w:ind w:firstLine="480"/>
        <w:jc w:val="both"/>
      </w:pPr>
      <w:r>
        <w:rPr>
          <w:rFonts w:ascii="Times New Roman" w:hAnsi="Times New Roman" w:eastAsia="宋体"/>
          <w:sz w:val="24"/>
        </w:rPr>
        <w:t>职业健康设计遵循密闭化、机械化和自动化优先原则。主要职业病危害因素包括汽油蒸气及苯系物、柴油雾滴、泵与风机噪声、广州地区高温高湿环境，以及清罐和检修时的缺氧及残余油气。</w:t>
      </w:r>
    </w:p>
    <w:p>
      <w:pPr>
        <w:keepNext w:val="0"/>
        <w:keepLines/>
        <w:spacing w:line="360" w:lineRule="auto" w:before="0" w:after="0"/>
        <w:ind w:firstLine="480"/>
        <w:jc w:val="both"/>
      </w:pPr>
      <w:r>
        <w:rPr>
          <w:rFonts w:ascii="Times New Roman" w:hAnsi="Times New Roman" w:eastAsia="宋体"/>
          <w:sz w:val="24"/>
        </w:rPr>
        <w:t>汽油收发、储存和装车系统采用密闭流程，装车油气进入第6章确定的120 m³/h油气回收装置；泵房、计量间和油气回收区设置机械通风与可燃气体检测。按GBZ 2.1—2019及第1号修改单，苯的时间加权平均容许浓度为6 mg/m³、短时间接触容许浓度为10 mg/m³。清罐和泄漏处置使用与危害程度相适应的防毒面具或正压式空气呼吸器。</w:t>
      </w:r>
    </w:p>
    <w:p>
      <w:pPr>
        <w:keepNext w:val="0"/>
        <w:keepLines/>
        <w:spacing w:line="360" w:lineRule="auto" w:before="0" w:after="0"/>
        <w:ind w:firstLine="480"/>
        <w:jc w:val="both"/>
      </w:pPr>
      <w:r>
        <w:rPr>
          <w:rFonts w:ascii="Times New Roman" w:hAnsi="Times New Roman" w:eastAsia="宋体"/>
          <w:sz w:val="24"/>
        </w:rPr>
        <w:t>输油泵、消防泵和油气回收风机采用低噪声设备、减振基础及柔性接头，按GBZ 2.2—2007将8 h工作日噪声等效声级控制在85 dB(A)以内。室外岗位设置遮阳和通风设施，实行高温时段轮换。罐内作业执行受限空间管理，作业前完成隔离、清洗置换和气体分析，作业中持续监测氧含量、可燃气体和有毒气体。</w:t>
      </w:r>
    </w:p>
    <w:p>
      <w:pPr>
        <w:pStyle w:val="6"/>
        <w:keepNext/>
        <w:pageBreakBefore w:val="0"/>
        <w:spacing w:before="120" w:after="60"/>
        <w:jc w:val="center"/>
      </w:pPr>
      <w:r>
        <w:rPr>
          <w:rFonts w:ascii="Times New Roman" w:hAnsi="Times New Roman" w:eastAsia="宋体"/>
          <w:b/>
          <w:sz w:val="22"/>
        </w:rPr>
        <w:t>表7-8 职业病危害因素及控制措施</w:t>
      </w:r>
    </w:p>
    <w:tbl>
      <w:tblPr>
        <w:tblW w:type="dxa" w:w="8959"/>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2155"/>
        <w:gridCol w:w="2835"/>
        <w:gridCol w:w="2268"/>
      </w:tblGrid>
      <w:tr>
        <w:trPr>
          <w:tblHeader w:val="true"/>
        </w:trPr>
        <w:tc>
          <w:tcPr>
            <w:tcW w:type="dxa" w:w="1701"/>
            <w:vAlign w:val="center"/>
          </w:tcPr>
          <w:p>
            <w:pPr>
              <w:keepNext/>
              <w:spacing w:before="0" w:after="0" w:line="240" w:lineRule="auto"/>
              <w:jc w:val="center"/>
            </w:pPr>
            <w:r/>
            <w:r>
              <w:rPr>
                <w:rFonts w:ascii="Times New Roman" w:hAnsi="Times New Roman" w:eastAsia="宋体"/>
                <w:b/>
                <w:sz w:val="18"/>
              </w:rPr>
              <w:t>危害因素</w:t>
            </w:r>
          </w:p>
        </w:tc>
        <w:tc>
          <w:tcPr>
            <w:tcW w:type="dxa" w:w="2155"/>
            <w:vAlign w:val="center"/>
          </w:tcPr>
          <w:p>
            <w:pPr>
              <w:keepNext/>
              <w:spacing w:before="0" w:after="0" w:line="240" w:lineRule="auto"/>
              <w:jc w:val="center"/>
            </w:pPr>
            <w:r/>
            <w:r>
              <w:rPr>
                <w:rFonts w:ascii="Times New Roman" w:hAnsi="Times New Roman" w:eastAsia="宋体"/>
                <w:b/>
                <w:sz w:val="18"/>
              </w:rPr>
              <w:t>主要场所</w:t>
            </w:r>
          </w:p>
        </w:tc>
        <w:tc>
          <w:tcPr>
            <w:tcW w:type="dxa" w:w="2835"/>
            <w:vAlign w:val="center"/>
          </w:tcPr>
          <w:p>
            <w:pPr>
              <w:keepNext/>
              <w:spacing w:before="0" w:after="0" w:line="240" w:lineRule="auto"/>
              <w:jc w:val="center"/>
            </w:pPr>
            <w:r/>
            <w:r>
              <w:rPr>
                <w:rFonts w:ascii="Times New Roman" w:hAnsi="Times New Roman" w:eastAsia="宋体"/>
                <w:b/>
                <w:sz w:val="18"/>
              </w:rPr>
              <w:t>工程控制</w:t>
            </w:r>
          </w:p>
        </w:tc>
        <w:tc>
          <w:tcPr>
            <w:tcW w:type="dxa" w:w="2268"/>
            <w:vAlign w:val="center"/>
          </w:tcPr>
          <w:p>
            <w:pPr>
              <w:keepNext/>
              <w:spacing w:before="0" w:after="0" w:line="240" w:lineRule="auto"/>
              <w:jc w:val="center"/>
            </w:pPr>
            <w:r/>
            <w:r>
              <w:rPr>
                <w:rFonts w:ascii="Times New Roman" w:hAnsi="Times New Roman" w:eastAsia="宋体"/>
                <w:b/>
                <w:sz w:val="18"/>
              </w:rPr>
              <w:t>检测与防护</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汽油蒸气、苯</w:t>
            </w:r>
          </w:p>
        </w:tc>
        <w:tc>
          <w:tcPr>
            <w:tcW w:type="dxa" w:w="2155"/>
            <w:vAlign w:val="center"/>
          </w:tcPr>
          <w:p>
            <w:pPr>
              <w:spacing w:before="0" w:after="0" w:line="240" w:lineRule="auto"/>
              <w:jc w:val="center"/>
            </w:pPr>
            <w:r/>
            <w:r>
              <w:rPr>
                <w:rFonts w:ascii="Times New Roman" w:hAnsi="Times New Roman" w:eastAsia="宋体"/>
                <w:b w:val="0"/>
                <w:sz w:val="18"/>
              </w:rPr>
              <w:t>装车区、泵房、罐区</w:t>
            </w:r>
          </w:p>
        </w:tc>
        <w:tc>
          <w:tcPr>
            <w:tcW w:type="dxa" w:w="2835"/>
            <w:vAlign w:val="center"/>
          </w:tcPr>
          <w:p>
            <w:pPr>
              <w:spacing w:before="0" w:after="0" w:line="240" w:lineRule="auto"/>
              <w:jc w:val="center"/>
            </w:pPr>
            <w:r/>
            <w:r>
              <w:rPr>
                <w:rFonts w:ascii="Times New Roman" w:hAnsi="Times New Roman" w:eastAsia="宋体"/>
                <w:b w:val="0"/>
                <w:sz w:val="18"/>
              </w:rPr>
              <w:t>密闭输送、油气回收、通风</w:t>
            </w:r>
          </w:p>
        </w:tc>
        <w:tc>
          <w:tcPr>
            <w:tcW w:type="dxa" w:w="2268"/>
            <w:vAlign w:val="center"/>
          </w:tcPr>
          <w:p>
            <w:pPr>
              <w:spacing w:before="0" w:after="0" w:line="240" w:lineRule="auto"/>
              <w:jc w:val="center"/>
            </w:pPr>
            <w:r/>
            <w:r>
              <w:rPr>
                <w:rFonts w:ascii="Times New Roman" w:hAnsi="Times New Roman" w:eastAsia="宋体"/>
                <w:b w:val="0"/>
                <w:sz w:val="18"/>
              </w:rPr>
              <w:t>定期监测；防毒或空气呼吸器</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可燃气体</w:t>
            </w:r>
          </w:p>
        </w:tc>
        <w:tc>
          <w:tcPr>
            <w:tcW w:type="dxa" w:w="2155"/>
            <w:vAlign w:val="center"/>
          </w:tcPr>
          <w:p>
            <w:pPr>
              <w:spacing w:before="0" w:after="0" w:line="240" w:lineRule="auto"/>
              <w:jc w:val="center"/>
            </w:pPr>
            <w:r/>
            <w:r>
              <w:rPr>
                <w:rFonts w:ascii="Times New Roman" w:hAnsi="Times New Roman" w:eastAsia="宋体"/>
                <w:b w:val="0"/>
                <w:sz w:val="18"/>
              </w:rPr>
              <w:t>泵房、阀组、装车鹤位</w:t>
            </w:r>
          </w:p>
        </w:tc>
        <w:tc>
          <w:tcPr>
            <w:tcW w:type="dxa" w:w="2835"/>
            <w:vAlign w:val="center"/>
          </w:tcPr>
          <w:p>
            <w:pPr>
              <w:spacing w:before="0" w:after="0" w:line="240" w:lineRule="auto"/>
              <w:jc w:val="center"/>
            </w:pPr>
            <w:r/>
            <w:r>
              <w:rPr>
                <w:rFonts w:ascii="Times New Roman" w:hAnsi="Times New Roman" w:eastAsia="宋体"/>
                <w:b w:val="0"/>
                <w:sz w:val="18"/>
              </w:rPr>
              <w:t>泄漏检测、事故通风、紧急切断</w:t>
            </w:r>
          </w:p>
        </w:tc>
        <w:tc>
          <w:tcPr>
            <w:tcW w:type="dxa" w:w="2268"/>
            <w:vAlign w:val="center"/>
          </w:tcPr>
          <w:p>
            <w:pPr>
              <w:spacing w:before="0" w:after="0" w:line="240" w:lineRule="auto"/>
              <w:jc w:val="center"/>
            </w:pPr>
            <w:r/>
            <w:r>
              <w:rPr>
                <w:rFonts w:ascii="Times New Roman" w:hAnsi="Times New Roman" w:eastAsia="宋体"/>
                <w:b w:val="0"/>
                <w:sz w:val="18"/>
              </w:rPr>
              <w:t>便携检测与报警联锁</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噪声</w:t>
            </w:r>
          </w:p>
        </w:tc>
        <w:tc>
          <w:tcPr>
            <w:tcW w:type="dxa" w:w="2155"/>
            <w:vAlign w:val="center"/>
          </w:tcPr>
          <w:p>
            <w:pPr>
              <w:spacing w:before="0" w:after="0" w:line="240" w:lineRule="auto"/>
              <w:jc w:val="center"/>
            </w:pPr>
            <w:r/>
            <w:r>
              <w:rPr>
                <w:rFonts w:ascii="Times New Roman" w:hAnsi="Times New Roman" w:eastAsia="宋体"/>
                <w:b w:val="0"/>
                <w:sz w:val="18"/>
              </w:rPr>
              <w:t>输油泵、消防泵、风机</w:t>
            </w:r>
          </w:p>
        </w:tc>
        <w:tc>
          <w:tcPr>
            <w:tcW w:type="dxa" w:w="2835"/>
            <w:vAlign w:val="center"/>
          </w:tcPr>
          <w:p>
            <w:pPr>
              <w:spacing w:before="0" w:after="0" w:line="240" w:lineRule="auto"/>
              <w:jc w:val="center"/>
            </w:pPr>
            <w:r/>
            <w:r>
              <w:rPr>
                <w:rFonts w:ascii="Times New Roman" w:hAnsi="Times New Roman" w:eastAsia="宋体"/>
                <w:b w:val="0"/>
                <w:sz w:val="18"/>
              </w:rPr>
              <w:t>低噪设备、减振隔声</w:t>
            </w:r>
          </w:p>
        </w:tc>
        <w:tc>
          <w:tcPr>
            <w:tcW w:type="dxa" w:w="2268"/>
            <w:vAlign w:val="center"/>
          </w:tcPr>
          <w:p>
            <w:pPr>
              <w:spacing w:before="0" w:after="0" w:line="240" w:lineRule="auto"/>
              <w:jc w:val="center"/>
            </w:pPr>
            <w:r/>
            <w:r>
              <w:rPr>
                <w:rFonts w:ascii="Times New Roman" w:hAnsi="Times New Roman" w:eastAsia="宋体"/>
                <w:b w:val="0"/>
                <w:sz w:val="18"/>
              </w:rPr>
              <w:t>8 h等效声级≤85 dB(A)</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高温高湿</w:t>
            </w:r>
          </w:p>
        </w:tc>
        <w:tc>
          <w:tcPr>
            <w:tcW w:type="dxa" w:w="2155"/>
            <w:vAlign w:val="center"/>
          </w:tcPr>
          <w:p>
            <w:pPr>
              <w:spacing w:before="0" w:after="0" w:line="240" w:lineRule="auto"/>
              <w:jc w:val="center"/>
            </w:pPr>
            <w:r/>
            <w:r>
              <w:rPr>
                <w:rFonts w:ascii="Times New Roman" w:hAnsi="Times New Roman" w:eastAsia="宋体"/>
                <w:b w:val="0"/>
                <w:sz w:val="18"/>
              </w:rPr>
              <w:t>露天罐区、装车区</w:t>
            </w:r>
          </w:p>
        </w:tc>
        <w:tc>
          <w:tcPr>
            <w:tcW w:type="dxa" w:w="2835"/>
            <w:vAlign w:val="center"/>
          </w:tcPr>
          <w:p>
            <w:pPr>
              <w:spacing w:before="0" w:after="0" w:line="240" w:lineRule="auto"/>
              <w:jc w:val="center"/>
            </w:pPr>
            <w:r/>
            <w:r>
              <w:rPr>
                <w:rFonts w:ascii="Times New Roman" w:hAnsi="Times New Roman" w:eastAsia="宋体"/>
                <w:b w:val="0"/>
                <w:sz w:val="18"/>
              </w:rPr>
              <w:t>遮阳通风、远程操作</w:t>
            </w:r>
          </w:p>
        </w:tc>
        <w:tc>
          <w:tcPr>
            <w:tcW w:type="dxa" w:w="2268"/>
            <w:vAlign w:val="center"/>
          </w:tcPr>
          <w:p>
            <w:pPr>
              <w:spacing w:before="0" w:after="0" w:line="240" w:lineRule="auto"/>
              <w:jc w:val="center"/>
            </w:pPr>
            <w:r/>
            <w:r>
              <w:rPr>
                <w:rFonts w:ascii="Times New Roman" w:hAnsi="Times New Roman" w:eastAsia="宋体"/>
                <w:b w:val="0"/>
                <w:sz w:val="18"/>
              </w:rPr>
              <w:t>轮换作业、防暑降温</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缺氧及有毒气体</w:t>
            </w:r>
          </w:p>
        </w:tc>
        <w:tc>
          <w:tcPr>
            <w:tcW w:type="dxa" w:w="2155"/>
            <w:vAlign w:val="center"/>
          </w:tcPr>
          <w:p>
            <w:pPr>
              <w:spacing w:before="0" w:after="0" w:line="240" w:lineRule="auto"/>
              <w:jc w:val="center"/>
            </w:pPr>
            <w:r/>
            <w:r>
              <w:rPr>
                <w:rFonts w:ascii="Times New Roman" w:hAnsi="Times New Roman" w:eastAsia="宋体"/>
                <w:b w:val="0"/>
                <w:sz w:val="18"/>
              </w:rPr>
              <w:t>清罐、罐内检修</w:t>
            </w:r>
          </w:p>
        </w:tc>
        <w:tc>
          <w:tcPr>
            <w:tcW w:type="dxa" w:w="2835"/>
            <w:vAlign w:val="center"/>
          </w:tcPr>
          <w:p>
            <w:pPr>
              <w:spacing w:before="0" w:after="0" w:line="240" w:lineRule="auto"/>
              <w:jc w:val="center"/>
            </w:pPr>
            <w:r/>
            <w:r>
              <w:rPr>
                <w:rFonts w:ascii="Times New Roman" w:hAnsi="Times New Roman" w:eastAsia="宋体"/>
                <w:b w:val="0"/>
                <w:sz w:val="18"/>
              </w:rPr>
              <w:t>隔离、置换、强制通风</w:t>
            </w:r>
          </w:p>
        </w:tc>
        <w:tc>
          <w:tcPr>
            <w:tcW w:type="dxa" w:w="2268"/>
            <w:vAlign w:val="center"/>
          </w:tcPr>
          <w:p>
            <w:pPr>
              <w:spacing w:before="0" w:after="0" w:line="240" w:lineRule="auto"/>
              <w:jc w:val="center"/>
            </w:pPr>
            <w:r/>
            <w:r>
              <w:rPr>
                <w:rFonts w:ascii="Times New Roman" w:hAnsi="Times New Roman" w:eastAsia="宋体"/>
                <w:b w:val="0"/>
                <w:sz w:val="18"/>
              </w:rPr>
              <w:t>连续检测、监护、正压呼吸防护</w:t>
            </w:r>
          </w:p>
        </w:tc>
      </w:tr>
    </w:tbl>
    <w:p>
      <w:pPr>
        <w:spacing w:before="0" w:after="0"/>
      </w:pPr>
    </w:p>
    <w:p>
      <w:pPr>
        <w:pStyle w:val="9"/>
        <w:keepNext/>
        <w:spacing w:before="60" w:after="60" w:line="360" w:lineRule="auto"/>
        <w:ind w:firstLine="480"/>
        <w:jc w:val="left"/>
      </w:pPr>
      <w:r>
        <w:rPr>
          <w:rFonts w:ascii="Times New Roman" w:hAnsi="Times New Roman" w:eastAsia="黑体"/>
          <w:b/>
          <w:sz w:val="28"/>
        </w:rPr>
        <w:t>7.4.2 安全管理</w:t>
      </w:r>
    </w:p>
    <w:p>
      <w:pPr>
        <w:keepNext w:val="0"/>
        <w:keepLines/>
        <w:spacing w:line="360" w:lineRule="auto" w:before="0" w:after="0"/>
        <w:ind w:firstLine="480"/>
        <w:jc w:val="both"/>
      </w:pPr>
      <w:r>
        <w:rPr>
          <w:rFonts w:ascii="Times New Roman" w:hAnsi="Times New Roman" w:eastAsia="宋体"/>
          <w:sz w:val="24"/>
        </w:rPr>
        <w:t>HSE管理体系按GB/T 45001—2020建立，形成风险识别、工程控制、作业许可、过程监测、应急响应和审核改进的闭环。安全管理覆盖储罐高高液位、管道超压、水击、泵汽蚀、油品串罐、装车溢油、油气超压、静电接地失效和消防系统不可用等风险。</w:t>
      </w:r>
    </w:p>
    <w:p>
      <w:pPr>
        <w:keepNext w:val="0"/>
        <w:keepLines/>
        <w:spacing w:line="360" w:lineRule="auto" w:before="0" w:after="0"/>
        <w:ind w:firstLine="480"/>
        <w:jc w:val="both"/>
      </w:pPr>
      <w:r>
        <w:rPr>
          <w:rFonts w:ascii="Times New Roman" w:hAnsi="Times New Roman" w:eastAsia="宋体"/>
          <w:sz w:val="24"/>
        </w:rPr>
        <w:t>（1）风险分级与隐患治理。对7座储罐、输油泵组、阀组、装车设施、油气回收和消防系统建立设备级风险清单。高后果场景包括汽油储罐溢流、泵房大量泄漏、装车静电引燃和柴油固定顶罐全液面火灾。隐患按责任、措施、资金、期限和应急预案闭环治理。</w:t>
      </w:r>
    </w:p>
    <w:p>
      <w:pPr>
        <w:keepNext w:val="0"/>
        <w:keepLines/>
        <w:spacing w:line="360" w:lineRule="auto" w:before="0" w:after="0"/>
        <w:ind w:firstLine="480"/>
        <w:jc w:val="both"/>
      </w:pPr>
      <w:r>
        <w:rPr>
          <w:rFonts w:ascii="Times New Roman" w:hAnsi="Times New Roman" w:eastAsia="宋体"/>
          <w:sz w:val="24"/>
        </w:rPr>
        <w:t>（2）工艺安全和联锁管理。储罐设置连续液位测量、高液位报警和独立高高液位联锁；泵出口设置压力监测，过滤器设置差压报警；装车系统设置定量、防溢流、静电接地和油气回收联锁。联锁设定值、旁路和强制操作实行授权管理。</w:t>
      </w:r>
    </w:p>
    <w:p>
      <w:pPr>
        <w:keepNext w:val="0"/>
        <w:keepLines/>
        <w:spacing w:line="360" w:lineRule="auto" w:before="0" w:after="0"/>
        <w:ind w:firstLine="480"/>
        <w:jc w:val="both"/>
      </w:pPr>
      <w:r>
        <w:rPr>
          <w:rFonts w:ascii="Times New Roman" w:hAnsi="Times New Roman" w:eastAsia="宋体"/>
          <w:sz w:val="24"/>
        </w:rPr>
        <w:t>（3）特殊作业管理。动火、受限空间、盲板抽堵、高处、吊装、临时用电、动土和断路作业执行GB 30871—2022。作业前完成能量隔离、上锁挂牌、排空置换、盲板隔离和气体分析，作业条件变化或报警时立即停止作业。</w:t>
      </w:r>
    </w:p>
    <w:p>
      <w:pPr>
        <w:keepNext w:val="0"/>
        <w:keepLines/>
        <w:spacing w:line="360" w:lineRule="auto" w:before="0" w:after="0"/>
        <w:ind w:firstLine="480"/>
        <w:jc w:val="both"/>
      </w:pPr>
      <w:r>
        <w:rPr>
          <w:rFonts w:ascii="Times New Roman" w:hAnsi="Times New Roman" w:eastAsia="宋体"/>
          <w:sz w:val="24"/>
        </w:rPr>
        <w:t>（4）设备完整性与应急管理。建立储罐、管道、泵、阀门、接地系统和消防设施的检验维护制度。针对火灾爆炸、油品泄漏、人员中毒窒息、暴雨台风、停电和消防供水中断制定专项处置方案，定期开展固定泡沫系统、消防冷却水、装车泄漏和受限空间救援演练。</w:t>
      </w:r>
    </w:p>
    <w:p>
      <w:pPr>
        <w:pStyle w:val="6"/>
        <w:keepNext/>
        <w:pageBreakBefore w:val="0"/>
        <w:spacing w:before="120" w:after="60"/>
        <w:jc w:val="center"/>
      </w:pPr>
      <w:r>
        <w:rPr>
          <w:rFonts w:ascii="Times New Roman" w:hAnsi="Times New Roman" w:eastAsia="宋体"/>
          <w:b/>
          <w:sz w:val="22"/>
        </w:rPr>
        <w:t>表7-9 HSE关键安全控制点</w:t>
      </w:r>
    </w:p>
    <w:tbl>
      <w:tblPr>
        <w:tblW w:type="dxa" w:w="8959"/>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2495"/>
        <w:gridCol w:w="2722"/>
        <w:gridCol w:w="2041"/>
      </w:tblGrid>
      <w:tr>
        <w:trPr>
          <w:tblHeader w:val="true"/>
        </w:trPr>
        <w:tc>
          <w:tcPr>
            <w:tcW w:type="dxa" w:w="1701"/>
            <w:vAlign w:val="center"/>
          </w:tcPr>
          <w:p>
            <w:pPr>
              <w:keepNext/>
              <w:spacing w:before="0" w:after="0" w:line="240" w:lineRule="auto"/>
              <w:jc w:val="center"/>
            </w:pPr>
            <w:r/>
            <w:r>
              <w:rPr>
                <w:rFonts w:ascii="Times New Roman" w:hAnsi="Times New Roman" w:eastAsia="宋体"/>
                <w:b/>
                <w:sz w:val="18"/>
              </w:rPr>
              <w:t>控制对象</w:t>
            </w:r>
          </w:p>
        </w:tc>
        <w:tc>
          <w:tcPr>
            <w:tcW w:type="dxa" w:w="2495"/>
            <w:vAlign w:val="center"/>
          </w:tcPr>
          <w:p>
            <w:pPr>
              <w:keepNext/>
              <w:spacing w:before="0" w:after="0" w:line="240" w:lineRule="auto"/>
              <w:jc w:val="center"/>
            </w:pPr>
            <w:r/>
            <w:r>
              <w:rPr>
                <w:rFonts w:ascii="Times New Roman" w:hAnsi="Times New Roman" w:eastAsia="宋体"/>
                <w:b/>
                <w:sz w:val="18"/>
              </w:rPr>
              <w:t>关键参数</w:t>
            </w:r>
          </w:p>
        </w:tc>
        <w:tc>
          <w:tcPr>
            <w:tcW w:type="dxa" w:w="2722"/>
            <w:vAlign w:val="center"/>
          </w:tcPr>
          <w:p>
            <w:pPr>
              <w:keepNext/>
              <w:spacing w:before="0" w:after="0" w:line="240" w:lineRule="auto"/>
              <w:jc w:val="center"/>
            </w:pPr>
            <w:r/>
            <w:r>
              <w:rPr>
                <w:rFonts w:ascii="Times New Roman" w:hAnsi="Times New Roman" w:eastAsia="宋体"/>
                <w:b/>
                <w:sz w:val="18"/>
              </w:rPr>
              <w:t>保护措施</w:t>
            </w:r>
          </w:p>
        </w:tc>
        <w:tc>
          <w:tcPr>
            <w:tcW w:type="dxa" w:w="2041"/>
            <w:vAlign w:val="center"/>
          </w:tcPr>
          <w:p>
            <w:pPr>
              <w:keepNext/>
              <w:spacing w:before="0" w:after="0" w:line="240" w:lineRule="auto"/>
              <w:jc w:val="center"/>
            </w:pPr>
            <w:r/>
            <w:r>
              <w:rPr>
                <w:rFonts w:ascii="Times New Roman" w:hAnsi="Times New Roman" w:eastAsia="宋体"/>
                <w:b/>
                <w:sz w:val="18"/>
              </w:rPr>
              <w:t>失效处置</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储罐收油</w:t>
            </w:r>
          </w:p>
        </w:tc>
        <w:tc>
          <w:tcPr>
            <w:tcW w:type="dxa" w:w="2495"/>
            <w:vAlign w:val="center"/>
          </w:tcPr>
          <w:p>
            <w:pPr>
              <w:spacing w:before="0" w:after="0" w:line="240" w:lineRule="auto"/>
              <w:jc w:val="center"/>
            </w:pPr>
            <w:r/>
            <w:r>
              <w:rPr>
                <w:rFonts w:ascii="Times New Roman" w:hAnsi="Times New Roman" w:eastAsia="宋体"/>
                <w:b w:val="0"/>
                <w:sz w:val="18"/>
              </w:rPr>
              <w:t>液位、阀位</w:t>
            </w:r>
          </w:p>
        </w:tc>
        <w:tc>
          <w:tcPr>
            <w:tcW w:type="dxa" w:w="2722"/>
            <w:vAlign w:val="center"/>
          </w:tcPr>
          <w:p>
            <w:pPr>
              <w:spacing w:before="0" w:after="0" w:line="240" w:lineRule="auto"/>
              <w:jc w:val="center"/>
            </w:pPr>
            <w:r/>
            <w:r>
              <w:rPr>
                <w:rFonts w:ascii="Times New Roman" w:hAnsi="Times New Roman" w:eastAsia="宋体"/>
                <w:b w:val="0"/>
                <w:sz w:val="18"/>
              </w:rPr>
              <w:t>独立高高液位联锁切断</w:t>
            </w:r>
          </w:p>
        </w:tc>
        <w:tc>
          <w:tcPr>
            <w:tcW w:type="dxa" w:w="2041"/>
            <w:vAlign w:val="center"/>
          </w:tcPr>
          <w:p>
            <w:pPr>
              <w:spacing w:before="0" w:after="0" w:line="240" w:lineRule="auto"/>
              <w:jc w:val="center"/>
            </w:pPr>
            <w:r/>
            <w:r>
              <w:rPr>
                <w:rFonts w:ascii="Times New Roman" w:hAnsi="Times New Roman" w:eastAsia="宋体"/>
                <w:b w:val="0"/>
                <w:sz w:val="18"/>
              </w:rPr>
              <w:t>上游停输并关闭进油阀</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输油泵</w:t>
            </w:r>
          </w:p>
        </w:tc>
        <w:tc>
          <w:tcPr>
            <w:tcW w:type="dxa" w:w="2495"/>
            <w:vAlign w:val="center"/>
          </w:tcPr>
          <w:p>
            <w:pPr>
              <w:spacing w:before="0" w:after="0" w:line="240" w:lineRule="auto"/>
              <w:jc w:val="center"/>
            </w:pPr>
            <w:r/>
            <w:r>
              <w:rPr>
                <w:rFonts w:ascii="Times New Roman" w:hAnsi="Times New Roman" w:eastAsia="宋体"/>
                <w:b w:val="0"/>
                <w:sz w:val="18"/>
              </w:rPr>
              <w:t>入口/出口压力、振动、温度</w:t>
            </w:r>
          </w:p>
        </w:tc>
        <w:tc>
          <w:tcPr>
            <w:tcW w:type="dxa" w:w="2722"/>
            <w:vAlign w:val="center"/>
          </w:tcPr>
          <w:p>
            <w:pPr>
              <w:spacing w:before="0" w:after="0" w:line="240" w:lineRule="auto"/>
              <w:jc w:val="center"/>
            </w:pPr>
            <w:r/>
            <w:r>
              <w:rPr>
                <w:rFonts w:ascii="Times New Roman" w:hAnsi="Times New Roman" w:eastAsia="宋体"/>
                <w:b w:val="0"/>
                <w:sz w:val="18"/>
              </w:rPr>
              <w:t>低入口、高出口及振动报警</w:t>
            </w:r>
          </w:p>
        </w:tc>
        <w:tc>
          <w:tcPr>
            <w:tcW w:type="dxa" w:w="2041"/>
            <w:vAlign w:val="center"/>
          </w:tcPr>
          <w:p>
            <w:pPr>
              <w:spacing w:before="0" w:after="0" w:line="240" w:lineRule="auto"/>
              <w:jc w:val="center"/>
            </w:pPr>
            <w:r/>
            <w:r>
              <w:rPr>
                <w:rFonts w:ascii="Times New Roman" w:hAnsi="Times New Roman" w:eastAsia="宋体"/>
                <w:b w:val="0"/>
                <w:sz w:val="18"/>
              </w:rPr>
              <w:t>停泵并切换备用泵</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汽车装车</w:t>
            </w:r>
          </w:p>
        </w:tc>
        <w:tc>
          <w:tcPr>
            <w:tcW w:type="dxa" w:w="2495"/>
            <w:vAlign w:val="center"/>
          </w:tcPr>
          <w:p>
            <w:pPr>
              <w:spacing w:before="0" w:after="0" w:line="240" w:lineRule="auto"/>
              <w:jc w:val="center"/>
            </w:pPr>
            <w:r/>
            <w:r>
              <w:rPr>
                <w:rFonts w:ascii="Times New Roman" w:hAnsi="Times New Roman" w:eastAsia="宋体"/>
                <w:b w:val="0"/>
                <w:sz w:val="18"/>
              </w:rPr>
              <w:t>接地、防溢流、定量、油气接口</w:t>
            </w:r>
          </w:p>
        </w:tc>
        <w:tc>
          <w:tcPr>
            <w:tcW w:type="dxa" w:w="2722"/>
            <w:vAlign w:val="center"/>
          </w:tcPr>
          <w:p>
            <w:pPr>
              <w:spacing w:before="0" w:after="0" w:line="240" w:lineRule="auto"/>
              <w:jc w:val="center"/>
            </w:pPr>
            <w:r/>
            <w:r>
              <w:rPr>
                <w:rFonts w:ascii="Times New Roman" w:hAnsi="Times New Roman" w:eastAsia="宋体"/>
                <w:b w:val="0"/>
                <w:sz w:val="18"/>
              </w:rPr>
              <w:t>四项条件许可联锁</w:t>
            </w:r>
          </w:p>
        </w:tc>
        <w:tc>
          <w:tcPr>
            <w:tcW w:type="dxa" w:w="2041"/>
            <w:vAlign w:val="center"/>
          </w:tcPr>
          <w:p>
            <w:pPr>
              <w:spacing w:before="0" w:after="0" w:line="240" w:lineRule="auto"/>
              <w:jc w:val="center"/>
            </w:pPr>
            <w:r/>
            <w:r>
              <w:rPr>
                <w:rFonts w:ascii="Times New Roman" w:hAnsi="Times New Roman" w:eastAsia="宋体"/>
                <w:b w:val="0"/>
                <w:sz w:val="18"/>
              </w:rPr>
              <w:t>关阀停泵</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油气回收</w:t>
            </w:r>
          </w:p>
        </w:tc>
        <w:tc>
          <w:tcPr>
            <w:tcW w:type="dxa" w:w="2495"/>
            <w:vAlign w:val="center"/>
          </w:tcPr>
          <w:p>
            <w:pPr>
              <w:spacing w:before="0" w:after="0" w:line="240" w:lineRule="auto"/>
              <w:jc w:val="center"/>
            </w:pPr>
            <w:r/>
            <w:r>
              <w:rPr>
                <w:rFonts w:ascii="Times New Roman" w:hAnsi="Times New Roman" w:eastAsia="宋体"/>
                <w:b w:val="0"/>
                <w:sz w:val="18"/>
              </w:rPr>
              <w:t>总管压力、温度、液位、风机</w:t>
            </w:r>
          </w:p>
        </w:tc>
        <w:tc>
          <w:tcPr>
            <w:tcW w:type="dxa" w:w="2722"/>
            <w:vAlign w:val="center"/>
          </w:tcPr>
          <w:p>
            <w:pPr>
              <w:spacing w:before="0" w:after="0" w:line="240" w:lineRule="auto"/>
              <w:jc w:val="center"/>
            </w:pPr>
            <w:r/>
            <w:r>
              <w:rPr>
                <w:rFonts w:ascii="Times New Roman" w:hAnsi="Times New Roman" w:eastAsia="宋体"/>
                <w:b w:val="0"/>
                <w:sz w:val="18"/>
              </w:rPr>
              <w:t>高高报警和装车联锁</w:t>
            </w:r>
          </w:p>
        </w:tc>
        <w:tc>
          <w:tcPr>
            <w:tcW w:type="dxa" w:w="2041"/>
            <w:vAlign w:val="center"/>
          </w:tcPr>
          <w:p>
            <w:pPr>
              <w:spacing w:before="0" w:after="0" w:line="240" w:lineRule="auto"/>
              <w:jc w:val="center"/>
            </w:pPr>
            <w:r/>
            <w:r>
              <w:rPr>
                <w:rFonts w:ascii="Times New Roman" w:hAnsi="Times New Roman" w:eastAsia="宋体"/>
                <w:b w:val="0"/>
                <w:sz w:val="18"/>
              </w:rPr>
              <w:t>停止汽油装车</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消防系统</w:t>
            </w:r>
          </w:p>
        </w:tc>
        <w:tc>
          <w:tcPr>
            <w:tcW w:type="dxa" w:w="2495"/>
            <w:vAlign w:val="center"/>
          </w:tcPr>
          <w:p>
            <w:pPr>
              <w:spacing w:before="0" w:after="0" w:line="240" w:lineRule="auto"/>
              <w:jc w:val="center"/>
            </w:pPr>
            <w:r/>
            <w:r>
              <w:rPr>
                <w:rFonts w:ascii="Times New Roman" w:hAnsi="Times New Roman" w:eastAsia="宋体"/>
                <w:b w:val="0"/>
                <w:sz w:val="18"/>
              </w:rPr>
              <w:t>水池液位、泵状态、阀位、泡沫液量</w:t>
            </w:r>
          </w:p>
        </w:tc>
        <w:tc>
          <w:tcPr>
            <w:tcW w:type="dxa" w:w="2722"/>
            <w:vAlign w:val="center"/>
          </w:tcPr>
          <w:p>
            <w:pPr>
              <w:spacing w:before="0" w:after="0" w:line="240" w:lineRule="auto"/>
              <w:jc w:val="center"/>
            </w:pPr>
            <w:r/>
            <w:r>
              <w:rPr>
                <w:rFonts w:ascii="Times New Roman" w:hAnsi="Times New Roman" w:eastAsia="宋体"/>
                <w:b w:val="0"/>
                <w:sz w:val="18"/>
              </w:rPr>
              <w:t>备用泵自动/手动切换</w:t>
            </w:r>
          </w:p>
        </w:tc>
        <w:tc>
          <w:tcPr>
            <w:tcW w:type="dxa" w:w="2041"/>
            <w:vAlign w:val="center"/>
          </w:tcPr>
          <w:p>
            <w:pPr>
              <w:spacing w:before="0" w:after="0" w:line="240" w:lineRule="auto"/>
              <w:jc w:val="center"/>
            </w:pPr>
            <w:r/>
            <w:r>
              <w:rPr>
                <w:rFonts w:ascii="Times New Roman" w:hAnsi="Times New Roman" w:eastAsia="宋体"/>
                <w:b w:val="0"/>
                <w:sz w:val="18"/>
              </w:rPr>
              <w:t>启动备用系统并停止高风险作业</w:t>
            </w:r>
          </w:p>
        </w:tc>
      </w:tr>
    </w:tbl>
    <w:p>
      <w:pPr>
        <w:spacing w:before="0" w:after="0"/>
      </w:pPr>
    </w:p>
    <w:p>
      <w:pPr>
        <w:pStyle w:val="9"/>
        <w:keepNext/>
        <w:spacing w:before="60" w:after="60" w:line="360" w:lineRule="auto"/>
        <w:ind w:firstLine="480"/>
        <w:jc w:val="left"/>
      </w:pPr>
      <w:r>
        <w:rPr>
          <w:rFonts w:ascii="Times New Roman" w:hAnsi="Times New Roman" w:eastAsia="黑体"/>
          <w:b/>
          <w:sz w:val="28"/>
        </w:rPr>
        <w:t>7.4.3 环境保护</w:t>
      </w:r>
    </w:p>
    <w:p>
      <w:pPr>
        <w:keepNext w:val="0"/>
        <w:keepLines/>
        <w:spacing w:line="360" w:lineRule="auto" w:before="0" w:after="0"/>
        <w:ind w:firstLine="480"/>
        <w:jc w:val="both"/>
      </w:pPr>
      <w:r>
        <w:rPr>
          <w:rFonts w:ascii="Times New Roman" w:hAnsi="Times New Roman" w:eastAsia="宋体"/>
          <w:sz w:val="24"/>
        </w:rPr>
        <w:t>环境管理执行GB/T 24001—2016，重点控制挥发性有机物、含油污水、事故废水、危险废物和设备噪声。汽油储罐采用内浮顶与周边密封，汽车罐车采用底部密闭装车，装车油气经独立总管进入120 m³/h油气回收装置，排放控制执行GB 20950—2020。</w:t>
      </w:r>
    </w:p>
    <w:p>
      <w:pPr>
        <w:keepNext w:val="0"/>
        <w:keepLines/>
        <w:spacing w:line="360" w:lineRule="auto" w:before="0" w:after="0"/>
        <w:ind w:firstLine="480"/>
        <w:jc w:val="both"/>
      </w:pPr>
      <w:r>
        <w:rPr>
          <w:rFonts w:ascii="Times New Roman" w:hAnsi="Times New Roman" w:eastAsia="宋体"/>
          <w:sz w:val="24"/>
        </w:rPr>
        <w:t>库区采用清污分流和雨污分流。罐组初期雨水、泵房冲洗水、装车区含油雨水及检维修废水进入含油污水系统；防火堤排水阀正常保持关闭，确认无污染后方可排水。消防废水和泄漏油品经防火堤、事故排水沟及切换阀导入事故水池，不进入黄埔东路市政雨水系统。</w:t>
      </w:r>
    </w:p>
    <w:p>
      <w:pPr>
        <w:keepNext w:val="0"/>
        <w:keepLines/>
        <w:spacing w:line="360" w:lineRule="auto" w:before="0" w:after="0"/>
        <w:ind w:firstLine="480"/>
        <w:jc w:val="both"/>
      </w:pPr>
      <w:r>
        <w:rPr>
          <w:rFonts w:ascii="Times New Roman" w:hAnsi="Times New Roman" w:eastAsia="宋体"/>
          <w:sz w:val="24"/>
        </w:rPr>
        <w:t>一次最大消防用水量为1808.30 m³。事故水池有效容积按一次消防水量并叠加泄漏油品与降雨汇水量设置，防火堤内可可靠滞留的体积不重复计入；事故排水系统采用分区切换和末端总切断，确保事故状态下污染水受控收集。</w:t>
      </w:r>
    </w:p>
    <w:p>
      <w:pPr>
        <w:keepNext w:val="0"/>
        <w:keepLines/>
        <w:spacing w:line="360" w:lineRule="auto" w:before="0" w:after="0"/>
        <w:ind w:firstLine="480"/>
        <w:jc w:val="both"/>
      </w:pPr>
      <w:r>
        <w:rPr>
          <w:rFonts w:ascii="Times New Roman" w:hAnsi="Times New Roman" w:eastAsia="宋体"/>
          <w:sz w:val="24"/>
        </w:rPr>
        <w:t>清罐油泥、含油吸附材料、废过滤芯、废润滑油和废化学品包装分类收集，危险废物暂存间设置防渗、防雨、防流失及泄漏收集设施，建立台账和转移联单，并交由具备相应资质的单位处置。泵和风机采用低噪声设备及减振隔声措施，厂界噪声按所在声环境功能区排放限值控制。</w:t>
      </w:r>
    </w:p>
    <w:p>
      <w:pPr>
        <w:pStyle w:val="6"/>
        <w:keepNext/>
        <w:pageBreakBefore w:val="0"/>
        <w:spacing w:before="120" w:after="60"/>
        <w:jc w:val="center"/>
      </w:pPr>
      <w:r>
        <w:rPr>
          <w:rFonts w:ascii="Times New Roman" w:hAnsi="Times New Roman" w:eastAsia="宋体"/>
          <w:b/>
          <w:sz w:val="22"/>
        </w:rPr>
        <w:t>表7-10 主要环境因素及控制措施</w:t>
      </w:r>
    </w:p>
    <w:tbl>
      <w:tblPr>
        <w:tblW w:type="dxa" w:w="8959"/>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1"/>
        <w:gridCol w:w="2268"/>
        <w:gridCol w:w="2835"/>
        <w:gridCol w:w="2155"/>
      </w:tblGrid>
      <w:tr>
        <w:trPr>
          <w:tblHeader w:val="true"/>
        </w:trPr>
        <w:tc>
          <w:tcPr>
            <w:tcW w:type="dxa" w:w="1701"/>
            <w:vAlign w:val="center"/>
          </w:tcPr>
          <w:p>
            <w:pPr>
              <w:keepNext/>
              <w:spacing w:before="0" w:after="0" w:line="240" w:lineRule="auto"/>
              <w:jc w:val="center"/>
            </w:pPr>
            <w:r/>
            <w:r>
              <w:rPr>
                <w:rFonts w:ascii="Times New Roman" w:hAnsi="Times New Roman" w:eastAsia="宋体"/>
                <w:b/>
                <w:sz w:val="18"/>
              </w:rPr>
              <w:t>环境因素</w:t>
            </w:r>
          </w:p>
        </w:tc>
        <w:tc>
          <w:tcPr>
            <w:tcW w:type="dxa" w:w="2268"/>
            <w:vAlign w:val="center"/>
          </w:tcPr>
          <w:p>
            <w:pPr>
              <w:keepNext/>
              <w:spacing w:before="0" w:after="0" w:line="240" w:lineRule="auto"/>
              <w:jc w:val="center"/>
            </w:pPr>
            <w:r/>
            <w:r>
              <w:rPr>
                <w:rFonts w:ascii="Times New Roman" w:hAnsi="Times New Roman" w:eastAsia="宋体"/>
                <w:b/>
                <w:sz w:val="18"/>
              </w:rPr>
              <w:t>产生环节</w:t>
            </w:r>
          </w:p>
        </w:tc>
        <w:tc>
          <w:tcPr>
            <w:tcW w:type="dxa" w:w="2835"/>
            <w:vAlign w:val="center"/>
          </w:tcPr>
          <w:p>
            <w:pPr>
              <w:keepNext/>
              <w:spacing w:before="0" w:after="0" w:line="240" w:lineRule="auto"/>
              <w:jc w:val="center"/>
            </w:pPr>
            <w:r/>
            <w:r>
              <w:rPr>
                <w:rFonts w:ascii="Times New Roman" w:hAnsi="Times New Roman" w:eastAsia="宋体"/>
                <w:b/>
                <w:sz w:val="18"/>
              </w:rPr>
              <w:t>控制措施</w:t>
            </w:r>
          </w:p>
        </w:tc>
        <w:tc>
          <w:tcPr>
            <w:tcW w:type="dxa" w:w="2155"/>
            <w:vAlign w:val="center"/>
          </w:tcPr>
          <w:p>
            <w:pPr>
              <w:keepNext/>
              <w:spacing w:before="0" w:after="0" w:line="240" w:lineRule="auto"/>
              <w:jc w:val="center"/>
            </w:pPr>
            <w:r/>
            <w:r>
              <w:rPr>
                <w:rFonts w:ascii="Times New Roman" w:hAnsi="Times New Roman" w:eastAsia="宋体"/>
                <w:b/>
                <w:sz w:val="18"/>
              </w:rPr>
              <w:t>监测管理</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汽油VOCs</w:t>
            </w:r>
          </w:p>
        </w:tc>
        <w:tc>
          <w:tcPr>
            <w:tcW w:type="dxa" w:w="2268"/>
            <w:vAlign w:val="center"/>
          </w:tcPr>
          <w:p>
            <w:pPr>
              <w:spacing w:before="0" w:after="0" w:line="240" w:lineRule="auto"/>
              <w:jc w:val="center"/>
            </w:pPr>
            <w:r/>
            <w:r>
              <w:rPr>
                <w:rFonts w:ascii="Times New Roman" w:hAnsi="Times New Roman" w:eastAsia="宋体"/>
                <w:b w:val="0"/>
                <w:sz w:val="18"/>
              </w:rPr>
              <w:t>储罐呼吸、装车、泵阀</w:t>
            </w:r>
          </w:p>
        </w:tc>
        <w:tc>
          <w:tcPr>
            <w:tcW w:type="dxa" w:w="2835"/>
            <w:vAlign w:val="center"/>
          </w:tcPr>
          <w:p>
            <w:pPr>
              <w:spacing w:before="0" w:after="0" w:line="240" w:lineRule="auto"/>
              <w:jc w:val="center"/>
            </w:pPr>
            <w:r/>
            <w:r>
              <w:rPr>
                <w:rFonts w:ascii="Times New Roman" w:hAnsi="Times New Roman" w:eastAsia="宋体"/>
                <w:b w:val="0"/>
                <w:sz w:val="18"/>
              </w:rPr>
              <w:t>内浮顶、密闭底装、油气回收、LDAR</w:t>
            </w:r>
          </w:p>
        </w:tc>
        <w:tc>
          <w:tcPr>
            <w:tcW w:type="dxa" w:w="2155"/>
            <w:vAlign w:val="center"/>
          </w:tcPr>
          <w:p>
            <w:pPr>
              <w:spacing w:before="0" w:after="0" w:line="240" w:lineRule="auto"/>
              <w:jc w:val="center"/>
            </w:pPr>
            <w:r/>
            <w:r>
              <w:rPr>
                <w:rFonts w:ascii="Times New Roman" w:hAnsi="Times New Roman" w:eastAsia="宋体"/>
                <w:b w:val="0"/>
                <w:sz w:val="18"/>
              </w:rPr>
              <w:t>排放检测、密封点巡检</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含油污水</w:t>
            </w:r>
          </w:p>
        </w:tc>
        <w:tc>
          <w:tcPr>
            <w:tcW w:type="dxa" w:w="2268"/>
            <w:vAlign w:val="center"/>
          </w:tcPr>
          <w:p>
            <w:pPr>
              <w:spacing w:before="0" w:after="0" w:line="240" w:lineRule="auto"/>
              <w:jc w:val="center"/>
            </w:pPr>
            <w:r/>
            <w:r>
              <w:rPr>
                <w:rFonts w:ascii="Times New Roman" w:hAnsi="Times New Roman" w:eastAsia="宋体"/>
                <w:b w:val="0"/>
                <w:sz w:val="18"/>
              </w:rPr>
              <w:t>初期雨水、冲洗、排污</w:t>
            </w:r>
          </w:p>
        </w:tc>
        <w:tc>
          <w:tcPr>
            <w:tcW w:type="dxa" w:w="2835"/>
            <w:vAlign w:val="center"/>
          </w:tcPr>
          <w:p>
            <w:pPr>
              <w:spacing w:before="0" w:after="0" w:line="240" w:lineRule="auto"/>
              <w:jc w:val="center"/>
            </w:pPr>
            <w:r/>
            <w:r>
              <w:rPr>
                <w:rFonts w:ascii="Times New Roman" w:hAnsi="Times New Roman" w:eastAsia="宋体"/>
                <w:b w:val="0"/>
                <w:sz w:val="18"/>
              </w:rPr>
              <w:t>清污分流、隔油处理、阀门切换</w:t>
            </w:r>
          </w:p>
        </w:tc>
        <w:tc>
          <w:tcPr>
            <w:tcW w:type="dxa" w:w="2155"/>
            <w:vAlign w:val="center"/>
          </w:tcPr>
          <w:p>
            <w:pPr>
              <w:spacing w:before="0" w:after="0" w:line="240" w:lineRule="auto"/>
              <w:jc w:val="center"/>
            </w:pPr>
            <w:r/>
            <w:r>
              <w:rPr>
                <w:rFonts w:ascii="Times New Roman" w:hAnsi="Times New Roman" w:eastAsia="宋体"/>
                <w:b w:val="0"/>
                <w:sz w:val="18"/>
              </w:rPr>
              <w:t>排水确认、出水监测</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事故废水</w:t>
            </w:r>
          </w:p>
        </w:tc>
        <w:tc>
          <w:tcPr>
            <w:tcW w:type="dxa" w:w="2268"/>
            <w:vAlign w:val="center"/>
          </w:tcPr>
          <w:p>
            <w:pPr>
              <w:spacing w:before="0" w:after="0" w:line="240" w:lineRule="auto"/>
              <w:jc w:val="center"/>
            </w:pPr>
            <w:r/>
            <w:r>
              <w:rPr>
                <w:rFonts w:ascii="Times New Roman" w:hAnsi="Times New Roman" w:eastAsia="宋体"/>
                <w:b w:val="0"/>
                <w:sz w:val="18"/>
              </w:rPr>
              <w:t>消防冷却、泡沫灭火、泄漏</w:t>
            </w:r>
          </w:p>
        </w:tc>
        <w:tc>
          <w:tcPr>
            <w:tcW w:type="dxa" w:w="2835"/>
            <w:vAlign w:val="center"/>
          </w:tcPr>
          <w:p>
            <w:pPr>
              <w:spacing w:before="0" w:after="0" w:line="240" w:lineRule="auto"/>
              <w:jc w:val="center"/>
            </w:pPr>
            <w:r/>
            <w:r>
              <w:rPr>
                <w:rFonts w:ascii="Times New Roman" w:hAnsi="Times New Roman" w:eastAsia="宋体"/>
                <w:b w:val="0"/>
                <w:sz w:val="18"/>
              </w:rPr>
              <w:t>防火堤、事故沟、事故水池</w:t>
            </w:r>
          </w:p>
        </w:tc>
        <w:tc>
          <w:tcPr>
            <w:tcW w:type="dxa" w:w="2155"/>
            <w:vAlign w:val="center"/>
          </w:tcPr>
          <w:p>
            <w:pPr>
              <w:spacing w:before="0" w:after="0" w:line="240" w:lineRule="auto"/>
              <w:jc w:val="center"/>
            </w:pPr>
            <w:r/>
            <w:r>
              <w:rPr>
                <w:rFonts w:ascii="Times New Roman" w:hAnsi="Times New Roman" w:eastAsia="宋体"/>
                <w:b w:val="0"/>
                <w:sz w:val="18"/>
              </w:rPr>
              <w:t>切换演练、保持有效容积</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危险废物</w:t>
            </w:r>
          </w:p>
        </w:tc>
        <w:tc>
          <w:tcPr>
            <w:tcW w:type="dxa" w:w="2268"/>
            <w:vAlign w:val="center"/>
          </w:tcPr>
          <w:p>
            <w:pPr>
              <w:spacing w:before="0" w:after="0" w:line="240" w:lineRule="auto"/>
              <w:jc w:val="center"/>
            </w:pPr>
            <w:r/>
            <w:r>
              <w:rPr>
                <w:rFonts w:ascii="Times New Roman" w:hAnsi="Times New Roman" w:eastAsia="宋体"/>
                <w:b w:val="0"/>
                <w:sz w:val="18"/>
              </w:rPr>
              <w:t>油泥、废滤芯、含油吸附物</w:t>
            </w:r>
          </w:p>
        </w:tc>
        <w:tc>
          <w:tcPr>
            <w:tcW w:type="dxa" w:w="2835"/>
            <w:vAlign w:val="center"/>
          </w:tcPr>
          <w:p>
            <w:pPr>
              <w:spacing w:before="0" w:after="0" w:line="240" w:lineRule="auto"/>
              <w:jc w:val="center"/>
            </w:pPr>
            <w:r/>
            <w:r>
              <w:rPr>
                <w:rFonts w:ascii="Times New Roman" w:hAnsi="Times New Roman" w:eastAsia="宋体"/>
                <w:b w:val="0"/>
                <w:sz w:val="18"/>
              </w:rPr>
              <w:t>分类暂存、防渗防雨、委托处置</w:t>
            </w:r>
          </w:p>
        </w:tc>
        <w:tc>
          <w:tcPr>
            <w:tcW w:type="dxa" w:w="2155"/>
            <w:vAlign w:val="center"/>
          </w:tcPr>
          <w:p>
            <w:pPr>
              <w:spacing w:before="0" w:after="0" w:line="240" w:lineRule="auto"/>
              <w:jc w:val="center"/>
            </w:pPr>
            <w:r/>
            <w:r>
              <w:rPr>
                <w:rFonts w:ascii="Times New Roman" w:hAnsi="Times New Roman" w:eastAsia="宋体"/>
                <w:b w:val="0"/>
                <w:sz w:val="18"/>
              </w:rPr>
              <w:t>台账和转移联单</w:t>
            </w:r>
          </w:p>
        </w:tc>
      </w:tr>
      <w:tr>
        <w:trPr>
          <w:cantSplit w:val="1"/>
        </w:trPr>
        <w:tc>
          <w:tcPr>
            <w:tcW w:type="dxa" w:w="1701"/>
            <w:vAlign w:val="center"/>
          </w:tcPr>
          <w:p>
            <w:pPr>
              <w:spacing w:before="0" w:after="0" w:line="240" w:lineRule="auto"/>
              <w:jc w:val="center"/>
            </w:pPr>
            <w:r/>
            <w:r>
              <w:rPr>
                <w:rFonts w:ascii="Times New Roman" w:hAnsi="Times New Roman" w:eastAsia="宋体"/>
                <w:b w:val="0"/>
                <w:sz w:val="18"/>
              </w:rPr>
              <w:t>噪声</w:t>
            </w:r>
          </w:p>
        </w:tc>
        <w:tc>
          <w:tcPr>
            <w:tcW w:type="dxa" w:w="2268"/>
            <w:vAlign w:val="center"/>
          </w:tcPr>
          <w:p>
            <w:pPr>
              <w:spacing w:before="0" w:after="0" w:line="240" w:lineRule="auto"/>
              <w:jc w:val="center"/>
            </w:pPr>
            <w:r/>
            <w:r>
              <w:rPr>
                <w:rFonts w:ascii="Times New Roman" w:hAnsi="Times New Roman" w:eastAsia="宋体"/>
                <w:b w:val="0"/>
                <w:sz w:val="18"/>
              </w:rPr>
              <w:t>输油泵、消防泵、风机</w:t>
            </w:r>
          </w:p>
        </w:tc>
        <w:tc>
          <w:tcPr>
            <w:tcW w:type="dxa" w:w="2835"/>
            <w:vAlign w:val="center"/>
          </w:tcPr>
          <w:p>
            <w:pPr>
              <w:spacing w:before="0" w:after="0" w:line="240" w:lineRule="auto"/>
              <w:jc w:val="center"/>
            </w:pPr>
            <w:r/>
            <w:r>
              <w:rPr>
                <w:rFonts w:ascii="Times New Roman" w:hAnsi="Times New Roman" w:eastAsia="宋体"/>
                <w:b w:val="0"/>
                <w:sz w:val="18"/>
              </w:rPr>
              <w:t>低噪设备、减振隔声</w:t>
            </w:r>
          </w:p>
        </w:tc>
        <w:tc>
          <w:tcPr>
            <w:tcW w:type="dxa" w:w="2155"/>
            <w:vAlign w:val="center"/>
          </w:tcPr>
          <w:p>
            <w:pPr>
              <w:spacing w:before="0" w:after="0" w:line="240" w:lineRule="auto"/>
              <w:jc w:val="center"/>
            </w:pPr>
            <w:r/>
            <w:r>
              <w:rPr>
                <w:rFonts w:ascii="Times New Roman" w:hAnsi="Times New Roman" w:eastAsia="宋体"/>
                <w:b w:val="0"/>
                <w:sz w:val="18"/>
              </w:rPr>
              <w:t>岗位和厂界监测</w:t>
            </w:r>
          </w:p>
        </w:tc>
      </w:tr>
    </w:tbl>
    <w:p>
      <w:pPr>
        <w:spacing w:before="0" w:after="0"/>
      </w:pPr>
    </w:p>
    <w:sectPr>
      <w:footerReference w:type="default" r:id="rId7"/>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87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HAnsi" w:hAnsiTheme="minorHAnsi" w:cstheme="minorBidi"/>
      <w:kern w:val="2"/>
      <w:sz w:val="24"/>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customStyle="1" w:styleId="5">
    <w:name w:val="一级标题"/>
    <w:basedOn w:val="1"/>
    <w:next w:val="1"/>
    <w:qFormat/>
    <w:uiPriority w:val="0"/>
    <w:pPr>
      <w:spacing w:before="100" w:beforeLines="100" w:after="100" w:afterLines="100"/>
      <w:ind w:firstLine="0" w:firstLineChars="0"/>
      <w:jc w:val="center"/>
      <w:outlineLvl w:val="0"/>
    </w:pPr>
    <w:rPr>
      <w:rFonts w:eastAsia="黑体"/>
      <w:b/>
      <w:bCs/>
      <w:sz w:val="32"/>
      <w:szCs w:val="32"/>
    </w:rPr>
  </w:style>
  <w:style w:type="paragraph" w:customStyle="1" w:styleId="6">
    <w:name w:val="图/表注"/>
    <w:basedOn w:val="1"/>
    <w:qFormat/>
    <w:uiPriority w:val="0"/>
    <w:pPr>
      <w:widowControl/>
      <w:ind w:firstLine="480"/>
      <w:jc w:val="center"/>
    </w:pPr>
    <w:rPr>
      <w:rFonts w:ascii="Times New Roman" w:hAnsi="Times New Roman" w:cs="Times New Roman"/>
      <w:b/>
      <w:sz w:val="22"/>
    </w:rPr>
  </w:style>
  <w:style w:type="paragraph" w:customStyle="1" w:styleId="7">
    <w:name w:val="Compact"/>
    <w:basedOn w:val="2"/>
    <w:qFormat/>
    <w:uiPriority w:val="0"/>
    <w:pPr>
      <w:spacing w:before="36" w:after="36"/>
    </w:pPr>
  </w:style>
  <w:style w:type="paragraph" w:customStyle="1" w:styleId="8">
    <w:name w:val="二级标题"/>
    <w:basedOn w:val="1"/>
    <w:qFormat/>
    <w:uiPriority w:val="0"/>
    <w:pPr>
      <w:spacing w:before="100" w:beforeLines="100" w:after="100" w:afterLines="100"/>
    </w:pPr>
    <w:rPr>
      <w:rFonts w:hint="eastAsia" w:ascii="宋体" w:hAnsi="宋体" w:cs="宋体"/>
      <w:b/>
      <w:bCs/>
      <w:sz w:val="28"/>
      <w:szCs w:val="28"/>
    </w:rPr>
  </w:style>
  <w:style w:type="paragraph" w:customStyle="1" w:styleId="9">
    <w:name w:val="三级标题"/>
    <w:basedOn w:val="1"/>
    <w:qFormat/>
    <w:uiPriority w:val="0"/>
    <w:pPr>
      <w:adjustRightInd w:val="0"/>
      <w:ind w:firstLine="602"/>
      <w:textAlignment w:val="baseline"/>
      <w:outlineLvl w:val="2"/>
    </w:pPr>
    <w:rPr>
      <w:rFonts w:hint="eastAsia" w:ascii="宋体" w:hAnsi="宋体" w:cs="宋体"/>
      <w:b/>
      <w:bCs/>
      <w:spacing w:val="1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2026-07-30T09:01:24Z</dcterms:created>
  <dc:creator>29366</dc:creator>
  <cp:lastModifiedBy>WPS_1745382907</cp:lastModifiedBy>
  <dcterms:modified xsi:type="dcterms:W3CDTF">2026-07-30T09:01:28Z</dcterms:modified>
  <dc:title>第7章 安全与消防设计</dc:title>
  <dc:subject>广州黄埔区油库毕业设计</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24074B0787EA4F148195D9C769E4AD34_12</vt:lpwstr>
  </property>
</Properties>
</file>