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E6E8" w14:textId="77777777" w:rsidR="00B4640D" w:rsidRDefault="00247747">
      <w:pPr>
        <w:pStyle w:val="af3"/>
        <w:keepNext/>
        <w:spacing w:before="60" w:after="60"/>
        <w:jc w:val="left"/>
      </w:pPr>
      <w:r>
        <w:rPr>
          <w:rFonts w:ascii="Times New Roman" w:eastAsia="黑体" w:hAnsi="Times New Roman"/>
          <w:sz w:val="28"/>
        </w:rPr>
        <w:t xml:space="preserve">5.1.6 </w:t>
      </w:r>
      <w:r>
        <w:rPr>
          <w:rFonts w:ascii="Times New Roman" w:eastAsia="黑体" w:hAnsi="Times New Roman"/>
          <w:sz w:val="28"/>
        </w:rPr>
        <w:t>固定顶、内浮顶选型及附件</w:t>
      </w:r>
    </w:p>
    <w:p w14:paraId="66973808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各储罐固定顶具体采用</w:t>
      </w:r>
      <w:r>
        <w:rPr>
          <w:rFonts w:ascii="Times New Roman" w:hAnsi="Times New Roman"/>
        </w:rPr>
        <w:t>Q235B</w:t>
      </w:r>
      <w:r>
        <w:rPr>
          <w:rFonts w:ascii="Times New Roman" w:hAnsi="Times New Roman"/>
        </w:rPr>
        <w:t>顶板，顶板名义厚度</w:t>
      </w:r>
      <w:r>
        <w:rPr>
          <w:rFonts w:ascii="Times New Roman" w:hAnsi="Times New Roman"/>
        </w:rPr>
        <w:t>5 mm</w:t>
      </w:r>
      <w:r>
        <w:rPr>
          <w:rFonts w:ascii="Times New Roman" w:hAnsi="Times New Roman"/>
        </w:rPr>
        <w:t>；网壳将顶板恒载、检修活载和风荷载传递至罐壁顶部包边角钢。汽油罐在固定顶下设置铝合金全接液蜂窝式内浮顶，采用一次液体镶嵌式密封与二次刮板密封，并设置导向、防旋转、静电导出及可调支柱；柴油罐仅采用固定球面拱顶，不设内浮顶。上述罐型分别符合</w:t>
      </w:r>
      <w:r>
        <w:rPr>
          <w:rFonts w:ascii="Times New Roman" w:hAnsi="Times New Roman"/>
        </w:rPr>
        <w:t>GB 50074—2014</w:t>
      </w:r>
      <w:r>
        <w:rPr>
          <w:rFonts w:ascii="Times New Roman" w:hAnsi="Times New Roman"/>
        </w:rPr>
        <w:t>对甲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类汽油和常温丙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类柴油储存形式的要求。球面曲率半径、矢高、理论面积和顶板质量按式（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>）～式（</w:t>
      </w:r>
      <w:r>
        <w:rPr>
          <w:rFonts w:ascii="Times New Roman" w:hAnsi="Times New Roman"/>
        </w:rPr>
        <w:t>14</w:t>
      </w:r>
      <w:r>
        <w:rPr>
          <w:rFonts w:ascii="Times New Roman" w:hAnsi="Times New Roman"/>
        </w:rPr>
        <w:t>）计算。</w:t>
      </w:r>
    </w:p>
    <w:tbl>
      <w:tblPr>
        <w:tblW w:w="8902" w:type="dxa"/>
        <w:jc w:val="center"/>
        <w:tblLayout w:type="fixed"/>
        <w:tblLook w:val="04A0" w:firstRow="1" w:lastRow="0" w:firstColumn="1" w:lastColumn="0" w:noHBand="0" w:noVBand="1"/>
      </w:tblPr>
      <w:tblGrid>
        <w:gridCol w:w="7598"/>
        <w:gridCol w:w="1304"/>
      </w:tblGrid>
      <w:tr w:rsidR="00B4640D" w14:paraId="4F8C2072" w14:textId="77777777">
        <w:trPr>
          <w:jc w:val="center"/>
        </w:trPr>
        <w:tc>
          <w:tcPr>
            <w:tcW w:w="7598" w:type="dxa"/>
            <w:tcBorders>
              <w:top w:val="nil"/>
              <w:left w:val="nil"/>
              <w:bottom w:val="nil"/>
              <w:right w:val="nil"/>
            </w:tcBorders>
          </w:tcPr>
          <w:p w14:paraId="524D7E5F" w14:textId="627FFC07" w:rsidR="00B4640D" w:rsidRDefault="00113520">
            <w:pPr>
              <w:keepLines/>
              <w:spacing w:before="20" w:after="20"/>
              <w:ind w:firstLine="48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=0.8D</m:t>
                </m:r>
              </m:oMath>
            </m:oMathPara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5D8D5" w14:textId="77777777" w:rsidR="00B4640D" w:rsidRDefault="00247747">
            <w:pPr>
              <w:spacing w:line="240" w:lineRule="auto"/>
              <w:ind w:firstLine="440"/>
              <w:jc w:val="center"/>
            </w:pPr>
            <w:r>
              <w:rPr>
                <w:rFonts w:ascii="Times New Roman" w:hAnsi="Times New Roman"/>
                <w:sz w:val="22"/>
              </w:rPr>
              <w:t>式（</w:t>
            </w:r>
            <w:r>
              <w:rPr>
                <w:rFonts w:ascii="Times New Roman" w:hAnsi="Times New Roman"/>
                <w:sz w:val="22"/>
              </w:rPr>
              <w:t>11</w:t>
            </w:r>
            <w:r>
              <w:rPr>
                <w:rFonts w:ascii="Times New Roman" w:hAnsi="Times New Roman"/>
                <w:sz w:val="22"/>
              </w:rPr>
              <w:t>）</w:t>
            </w:r>
          </w:p>
        </w:tc>
      </w:tr>
      <w:tr w:rsidR="00B4640D" w14:paraId="19E05822" w14:textId="77777777">
        <w:trPr>
          <w:jc w:val="center"/>
        </w:trPr>
        <w:tc>
          <w:tcPr>
            <w:tcW w:w="7598" w:type="dxa"/>
            <w:tcBorders>
              <w:top w:val="nil"/>
              <w:left w:val="nil"/>
              <w:bottom w:val="nil"/>
              <w:right w:val="nil"/>
            </w:tcBorders>
          </w:tcPr>
          <w:p w14:paraId="4DC590AE" w14:textId="2EE6BE97" w:rsidR="00B4640D" w:rsidRDefault="00113520">
            <w:pPr>
              <w:keepLines/>
              <w:spacing w:before="20" w:after="20"/>
              <w:ind w:firstLine="48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f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hint="eastAsia"/>
                                  </w:rPr>
                                  <m:t>D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hint="eastAsia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C36D5" w14:textId="77777777" w:rsidR="00B4640D" w:rsidRDefault="00247747">
            <w:pPr>
              <w:spacing w:line="240" w:lineRule="auto"/>
              <w:ind w:firstLine="440"/>
              <w:jc w:val="center"/>
            </w:pPr>
            <w:r>
              <w:rPr>
                <w:rFonts w:ascii="Times New Roman" w:hAnsi="Times New Roman"/>
                <w:sz w:val="22"/>
              </w:rPr>
              <w:t>式（</w:t>
            </w:r>
            <w:r>
              <w:rPr>
                <w:rFonts w:ascii="Times New Roman" w:hAnsi="Times New Roman"/>
                <w:sz w:val="22"/>
              </w:rPr>
              <w:t>12</w:t>
            </w:r>
            <w:r>
              <w:rPr>
                <w:rFonts w:ascii="Times New Roman" w:hAnsi="Times New Roman"/>
                <w:sz w:val="22"/>
              </w:rPr>
              <w:t>）</w:t>
            </w:r>
          </w:p>
        </w:tc>
      </w:tr>
      <w:tr w:rsidR="00B4640D" w14:paraId="241C8DB0" w14:textId="77777777">
        <w:trPr>
          <w:jc w:val="center"/>
        </w:trPr>
        <w:tc>
          <w:tcPr>
            <w:tcW w:w="7598" w:type="dxa"/>
            <w:tcBorders>
              <w:top w:val="nil"/>
              <w:left w:val="nil"/>
              <w:bottom w:val="nil"/>
              <w:right w:val="nil"/>
            </w:tcBorders>
          </w:tcPr>
          <w:p w14:paraId="4EA1C028" w14:textId="07098963" w:rsidR="00B4640D" w:rsidRDefault="00113520">
            <w:pPr>
              <w:keepLines/>
              <w:spacing w:before="20" w:after="20"/>
              <w:ind w:firstLine="48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59407" w14:textId="77777777" w:rsidR="00B4640D" w:rsidRDefault="00247747">
            <w:pPr>
              <w:spacing w:line="240" w:lineRule="auto"/>
              <w:ind w:firstLine="440"/>
              <w:jc w:val="center"/>
            </w:pPr>
            <w:r>
              <w:rPr>
                <w:rFonts w:ascii="Times New Roman" w:hAnsi="Times New Roman"/>
                <w:sz w:val="22"/>
              </w:rPr>
              <w:t>式（</w:t>
            </w:r>
            <w:r>
              <w:rPr>
                <w:rFonts w:ascii="Times New Roman" w:hAnsi="Times New Roman"/>
                <w:sz w:val="22"/>
              </w:rPr>
              <w:t>13</w:t>
            </w:r>
            <w:r>
              <w:rPr>
                <w:rFonts w:ascii="Times New Roman" w:hAnsi="Times New Roman"/>
                <w:sz w:val="22"/>
              </w:rPr>
              <w:t>）</w:t>
            </w:r>
          </w:p>
        </w:tc>
      </w:tr>
      <w:tr w:rsidR="00B4640D" w14:paraId="07732202" w14:textId="77777777">
        <w:trPr>
          <w:jc w:val="center"/>
        </w:trPr>
        <w:tc>
          <w:tcPr>
            <w:tcW w:w="7598" w:type="dxa"/>
            <w:tcBorders>
              <w:top w:val="nil"/>
              <w:left w:val="nil"/>
              <w:bottom w:val="nil"/>
              <w:right w:val="nil"/>
            </w:tcBorders>
          </w:tcPr>
          <w:p w14:paraId="767454CD" w14:textId="05C618F3" w:rsidR="00B4640D" w:rsidRDefault="00113520">
            <w:pPr>
              <w:keepLines/>
              <w:spacing w:before="20" w:after="20"/>
              <w:ind w:firstLine="48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sub>
                    </m:sSub>
                  </m:sub>
                </m:sSub>
              </m:oMath>
            </m:oMathPara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641B1" w14:textId="77777777" w:rsidR="00B4640D" w:rsidRDefault="00247747">
            <w:pPr>
              <w:spacing w:line="240" w:lineRule="auto"/>
              <w:ind w:firstLine="440"/>
              <w:jc w:val="center"/>
            </w:pPr>
            <w:r>
              <w:rPr>
                <w:rFonts w:ascii="Times New Roman" w:hAnsi="Times New Roman"/>
                <w:sz w:val="22"/>
              </w:rPr>
              <w:t>式（</w:t>
            </w:r>
            <w:r>
              <w:rPr>
                <w:rFonts w:ascii="Times New Roman" w:hAnsi="Times New Roman"/>
                <w:sz w:val="22"/>
              </w:rPr>
              <w:t>14</w:t>
            </w:r>
            <w:r>
              <w:rPr>
                <w:rFonts w:ascii="Times New Roman" w:hAnsi="Times New Roman"/>
                <w:sz w:val="22"/>
              </w:rPr>
              <w:t>）</w:t>
            </w:r>
          </w:p>
        </w:tc>
      </w:tr>
    </w:tbl>
    <w:p w14:paraId="66EC601F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式中：</w:t>
      </w:r>
      <w:r>
        <w:rPr>
          <w:rFonts w:ascii="Times New Roman" w:hAnsi="Times New Roman"/>
        </w:rPr>
        <w:t>Rc</w:t>
      </w:r>
      <w:r>
        <w:rPr>
          <w:rFonts w:ascii="Times New Roman" w:hAnsi="Times New Roman"/>
        </w:rPr>
        <w:t>为球面曲率半径，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hf</w:t>
      </w:r>
      <w:r>
        <w:rPr>
          <w:rFonts w:ascii="Times New Roman" w:hAnsi="Times New Roman"/>
        </w:rPr>
        <w:t>为拱顶矢高，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Ap</w:t>
      </w:r>
      <w:r>
        <w:rPr>
          <w:rFonts w:ascii="Times New Roman" w:hAnsi="Times New Roman"/>
        </w:rPr>
        <w:t>为球冠理论面积，</w:t>
      </w:r>
      <w:r>
        <w:rPr>
          <w:rFonts w:ascii="Times New Roman" w:hAnsi="Times New Roman"/>
        </w:rPr>
        <w:t>m²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tp</w:t>
      </w:r>
      <w:r>
        <w:rPr>
          <w:rFonts w:ascii="Times New Roman" w:hAnsi="Times New Roman"/>
        </w:rPr>
        <w:t>为顶板厚度，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ρs</w:t>
      </w:r>
      <w:r>
        <w:rPr>
          <w:rFonts w:ascii="Times New Roman" w:hAnsi="Times New Roman"/>
        </w:rPr>
        <w:t>为钢材密度，取</w:t>
      </w:r>
      <w:r>
        <w:rPr>
          <w:rFonts w:ascii="Times New Roman" w:hAnsi="Times New Roman"/>
        </w:rPr>
        <w:t>7850 kg/m³</w:t>
      </w:r>
      <w:r>
        <w:rPr>
          <w:rFonts w:ascii="Times New Roman" w:hAnsi="Times New Roman"/>
        </w:rPr>
        <w:t>。取</w:t>
      </w:r>
      <w:r>
        <w:rPr>
          <w:rFonts w:ascii="Times New Roman" w:hAnsi="Times New Roman"/>
        </w:rPr>
        <w:t>Rc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0.8D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19.20 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24.0 m</w:t>
      </w:r>
      <w:r>
        <w:rPr>
          <w:rFonts w:ascii="Times New Roman" w:hAnsi="Times New Roman"/>
        </w:rPr>
        <w:t>，代入式（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>）、式（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</w:rPr>
        <w:t>）得</w:t>
      </w:r>
      <w:r>
        <w:rPr>
          <w:rFonts w:ascii="Times New Roman" w:hAnsi="Times New Roman"/>
        </w:rPr>
        <w:t>Rc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19.20 m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hf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4.21 m</w:t>
      </w:r>
      <w:r>
        <w:rPr>
          <w:rFonts w:ascii="Times New Roman" w:hAnsi="Times New Roman"/>
        </w:rPr>
        <w:t>；再代入式（</w:t>
      </w:r>
      <w:r>
        <w:rPr>
          <w:rFonts w:ascii="Times New Roman" w:hAnsi="Times New Roman"/>
        </w:rPr>
        <w:t>13</w:t>
      </w:r>
      <w:r>
        <w:rPr>
          <w:rFonts w:ascii="Times New Roman" w:hAnsi="Times New Roman"/>
        </w:rPr>
        <w:t>）、式（</w:t>
      </w:r>
      <w:r>
        <w:rPr>
          <w:rFonts w:ascii="Times New Roman" w:hAnsi="Times New Roman"/>
        </w:rPr>
        <w:t>14</w:t>
      </w:r>
      <w:r>
        <w:rPr>
          <w:rFonts w:ascii="Times New Roman" w:hAnsi="Times New Roman"/>
        </w:rPr>
        <w:t>），取顶板名义厚度</w:t>
      </w:r>
      <w:r>
        <w:rPr>
          <w:rFonts w:ascii="Times New Roman" w:hAnsi="Times New Roman"/>
        </w:rPr>
        <w:t>5 mm</w:t>
      </w:r>
      <w:r>
        <w:rPr>
          <w:rFonts w:ascii="Times New Roman" w:hAnsi="Times New Roman"/>
        </w:rPr>
        <w:t>，可得球冠理论面积</w:t>
      </w:r>
      <w:r>
        <w:rPr>
          <w:rFonts w:ascii="Times New Roman" w:hAnsi="Times New Roman"/>
        </w:rPr>
        <w:t>508.12 m²</w:t>
      </w:r>
      <w:r>
        <w:rPr>
          <w:rFonts w:ascii="Times New Roman" w:hAnsi="Times New Roman"/>
        </w:rPr>
        <w:t>、顶板理论质量</w:t>
      </w:r>
      <w:r>
        <w:rPr>
          <w:rFonts w:ascii="Times New Roman" w:hAnsi="Times New Roman"/>
        </w:rPr>
        <w:t>19.94 t</w:t>
      </w:r>
      <w:r>
        <w:rPr>
          <w:rFonts w:ascii="Times New Roman" w:hAnsi="Times New Roman"/>
        </w:rPr>
        <w:t>。计算结果汇总见表</w:t>
      </w:r>
      <w:r>
        <w:rPr>
          <w:rFonts w:ascii="Times New Roman" w:hAnsi="Times New Roman"/>
        </w:rPr>
        <w:t>5-4</w:t>
      </w:r>
      <w:r>
        <w:rPr>
          <w:rFonts w:ascii="Times New Roman" w:hAnsi="Times New Roman"/>
        </w:rPr>
        <w:t>。</w:t>
      </w:r>
    </w:p>
    <w:p w14:paraId="15306459" w14:textId="77777777" w:rsidR="00B4640D" w:rsidRDefault="00247747">
      <w:pPr>
        <w:pStyle w:val="af4"/>
        <w:keepNext/>
        <w:spacing w:before="120" w:after="60"/>
        <w:ind w:firstLine="442"/>
      </w:pPr>
      <w:r>
        <w:t>表</w:t>
      </w:r>
      <w:r>
        <w:t xml:space="preserve">5-4 </w:t>
      </w:r>
      <w:r>
        <w:t>固定顶几何参数及顶板理论质量</w:t>
      </w:r>
    </w:p>
    <w:tbl>
      <w:tblPr>
        <w:tblStyle w:val="ac"/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1077"/>
        <w:gridCol w:w="1191"/>
        <w:gridCol w:w="1191"/>
        <w:gridCol w:w="1361"/>
        <w:gridCol w:w="1134"/>
        <w:gridCol w:w="1134"/>
      </w:tblGrid>
      <w:tr w:rsidR="00B4640D" w14:paraId="398B9C88" w14:textId="77777777">
        <w:trPr>
          <w:tblHeader/>
          <w:jc w:val="center"/>
        </w:trPr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67110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公称容积</w:t>
            </w:r>
            <w:r>
              <w:rPr>
                <w:rFonts w:ascii="Times New Roman" w:hAnsi="Times New Roman"/>
                <w:b/>
                <w:sz w:val="19"/>
              </w:rPr>
              <w:t>/m³</w:t>
            </w:r>
          </w:p>
        </w:tc>
        <w:tc>
          <w:tcPr>
            <w:tcW w:w="10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C5EA2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D/m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75561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Rc/m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32CA1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hf/m</w:t>
            </w:r>
          </w:p>
        </w:tc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3CD6A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Ap/m²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C4CCC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tp/mm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B2086" w14:textId="77777777" w:rsidR="00B4640D" w:rsidRDefault="00247747">
            <w:pPr>
              <w:spacing w:line="240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mp/t</w:t>
            </w:r>
          </w:p>
        </w:tc>
      </w:tr>
      <w:tr w:rsidR="00B4640D" w14:paraId="52287A43" w14:textId="77777777">
        <w:trPr>
          <w:cantSplit/>
          <w:jc w:val="center"/>
        </w:trPr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0DDCE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5000</w:t>
            </w:r>
          </w:p>
        </w:tc>
        <w:tc>
          <w:tcPr>
            <w:tcW w:w="10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9FDDB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24.0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C821E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19.20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87E49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4.21</w:t>
            </w:r>
          </w:p>
        </w:tc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171A4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508.12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1601F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139F1" w14:textId="77777777" w:rsidR="00B4640D" w:rsidRDefault="00247747">
            <w:pPr>
              <w:spacing w:line="240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19.94</w:t>
            </w:r>
          </w:p>
        </w:tc>
      </w:tr>
    </w:tbl>
    <w:p w14:paraId="75E74084" w14:textId="77777777" w:rsidR="00B4640D" w:rsidRDefault="00B4640D">
      <w:pPr>
        <w:ind w:firstLine="480"/>
      </w:pPr>
    </w:p>
    <w:p w14:paraId="43A30289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汽油内浮顶罐设置高效边缘密封及油气控制设施，浮盘支柱按浮盘落底检修工况校核。各罐设置连续远传液位计和独立高高液位开关，高高液位信号联锁关闭罐前进油阀并向上游发出停输信号。柴油固定顶罐设置呼吸阀和阻火器。正常通气能力按单罐</w:t>
      </w:r>
      <w:r>
        <w:rPr>
          <w:rFonts w:ascii="Times New Roman" w:hAnsi="Times New Roman"/>
        </w:rPr>
        <w:t>60 m³/h</w:t>
      </w:r>
      <w:r>
        <w:rPr>
          <w:rFonts w:ascii="Times New Roman" w:hAnsi="Times New Roman"/>
        </w:rPr>
        <w:t>最大进出油量与热呼吸量共同确定，紧急通气能力按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确定。</w:t>
      </w:r>
    </w:p>
    <w:p w14:paraId="5FA521E7" w14:textId="77777777" w:rsidR="00B4640D" w:rsidRDefault="00247747">
      <w:pPr>
        <w:keepNext/>
        <w:widowControl/>
        <w:ind w:firstLine="482"/>
      </w:pPr>
      <w:r>
        <w:rPr>
          <w:rFonts w:ascii="Times New Roman" w:hAnsi="Times New Roman"/>
          <w:b/>
        </w:rPr>
        <w:lastRenderedPageBreak/>
        <w:t>（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）人孔与检查孔</w:t>
      </w:r>
    </w:p>
    <w:p w14:paraId="5D12767B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汽油内浮顶罐的人孔按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9.10</w:t>
      </w:r>
      <w:r>
        <w:rPr>
          <w:rFonts w:ascii="Times New Roman" w:hAnsi="Times New Roman"/>
        </w:rPr>
        <w:t>节设置。每座罐的固定顶和内浮顶各设置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个人孔，净开口直径均取</w:t>
      </w:r>
      <w:r>
        <w:rPr>
          <w:rFonts w:ascii="Times New Roman" w:hAnsi="Times New Roman"/>
        </w:rPr>
        <w:t>600 mm</w:t>
      </w:r>
      <w:r>
        <w:rPr>
          <w:rFonts w:ascii="Times New Roman" w:hAnsi="Times New Roman"/>
        </w:rPr>
        <w:t>；罐壁设置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个低位人孔和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个高位人孔，采用该规范表</w:t>
      </w:r>
      <w:r>
        <w:rPr>
          <w:rFonts w:ascii="Times New Roman" w:hAnsi="Times New Roman"/>
        </w:rPr>
        <w:t>10.3.1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610 mm</w:t>
      </w:r>
      <w:r>
        <w:rPr>
          <w:rFonts w:ascii="Times New Roman" w:hAnsi="Times New Roman"/>
        </w:rPr>
        <w:t>系列。低位人孔位于内浮顶最低支撑高度以下，高位人孔高于内浮顶最大支撑高度，且均避开进出油接管、罐壁纵环焊缝、抗风圈及盘梯。低位人孔用于清罐、检修和通风，高位人孔用于内浮顶上部空间检查；内浮顶人孔与罐壁低位人孔在平面位置上相互对应，形成检修通道。</w:t>
      </w:r>
    </w:p>
    <w:p w14:paraId="2858252D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柴油固定顶罐每座设置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个人孔：底圈罐壁设置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个内径</w:t>
      </w:r>
      <w:r>
        <w:rPr>
          <w:rFonts w:ascii="Times New Roman" w:hAnsi="Times New Roman"/>
        </w:rPr>
        <w:t>610 mm</w:t>
      </w:r>
      <w:r>
        <w:rPr>
          <w:rFonts w:ascii="Times New Roman" w:hAnsi="Times New Roman"/>
        </w:rPr>
        <w:t>低位人孔，固定顶设置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个内径</w:t>
      </w:r>
      <w:r>
        <w:rPr>
          <w:rFonts w:ascii="Times New Roman" w:hAnsi="Times New Roman"/>
        </w:rPr>
        <w:t>500 mm</w:t>
      </w:r>
      <w:r>
        <w:rPr>
          <w:rFonts w:ascii="Times New Roman" w:hAnsi="Times New Roman"/>
        </w:rPr>
        <w:t>罐顶人孔。罐壁人孔中心线距罐底板不小于</w:t>
      </w:r>
      <w:r>
        <w:rPr>
          <w:rFonts w:ascii="Times New Roman" w:hAnsi="Times New Roman"/>
        </w:rPr>
        <w:t>760 mm</w:t>
      </w:r>
      <w:r>
        <w:rPr>
          <w:rFonts w:ascii="Times New Roman" w:hAnsi="Times New Roman"/>
        </w:rPr>
        <w:t>，具体结构、补强板和紧固件按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10.3</w:t>
      </w:r>
      <w:r>
        <w:rPr>
          <w:rFonts w:ascii="Times New Roman" w:hAnsi="Times New Roman"/>
        </w:rPr>
        <w:t>节确定；罐顶人孔按该规范第</w:t>
      </w:r>
      <w:r>
        <w:rPr>
          <w:rFonts w:ascii="Times New Roman" w:hAnsi="Times New Roman"/>
        </w:rPr>
        <w:t>10.6</w:t>
      </w:r>
      <w:r>
        <w:rPr>
          <w:rFonts w:ascii="Times New Roman" w:hAnsi="Times New Roman"/>
        </w:rPr>
        <w:t>节采用带颈法兰盖结构。每座柴油罐另设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DN500</w:t>
      </w:r>
      <w:r>
        <w:rPr>
          <w:rFonts w:ascii="Times New Roman" w:hAnsi="Times New Roman"/>
        </w:rPr>
        <w:t>透光孔，沿罐顶对称布置，用于清罐期间采光和强制通风。上述数量与</w:t>
      </w:r>
      <w:r>
        <w:rPr>
          <w:rFonts w:ascii="Times New Roman" w:hAnsi="Times New Roman"/>
        </w:rPr>
        <w:t>HJ 853—2017</w:t>
      </w: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E.7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3000 m³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5000 m³</w:t>
      </w:r>
      <w:r>
        <w:rPr>
          <w:rFonts w:ascii="Times New Roman" w:hAnsi="Times New Roman"/>
        </w:rPr>
        <w:t>固定顶罐的附件配置相一致。</w:t>
      </w:r>
    </w:p>
    <w:p w14:paraId="5896F6AE" w14:textId="77777777" w:rsidR="00B4640D" w:rsidRDefault="00247747">
      <w:pPr>
        <w:keepNext/>
        <w:widowControl/>
        <w:ind w:firstLine="482"/>
      </w:pP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）通气设施</w:t>
      </w:r>
    </w:p>
    <w:p w14:paraId="3282480E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汽油内浮顶罐按非密闭式内浮顶罐设置固定顶通气设施。依据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9.7.1</w:t>
      </w:r>
      <w:r>
        <w:rPr>
          <w:rFonts w:ascii="Times New Roman" w:hAnsi="Times New Roman"/>
        </w:rPr>
        <w:t>条，环向通气孔总有效通气面积按</w:t>
      </w:r>
      <w:r>
        <w:rPr>
          <w:rFonts w:ascii="Times New Roman" w:hAnsi="Times New Roman"/>
        </w:rPr>
        <w:t>B≥0.06D</w:t>
      </w:r>
      <w:r>
        <w:rPr>
          <w:rFonts w:ascii="Times New Roman" w:hAnsi="Times New Roman"/>
        </w:rPr>
        <w:t>确定。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24.0 m</w:t>
      </w:r>
      <w:r>
        <w:rPr>
          <w:rFonts w:ascii="Times New Roman" w:hAnsi="Times New Roman"/>
        </w:rPr>
        <w:t>时，</w:t>
      </w:r>
      <w:r>
        <w:rPr>
          <w:rFonts w:ascii="Times New Roman" w:hAnsi="Times New Roman"/>
        </w:rPr>
        <w:t>B≥1.44 m²</w:t>
      </w:r>
      <w:r>
        <w:rPr>
          <w:rFonts w:ascii="Times New Roman" w:hAnsi="Times New Roman"/>
        </w:rPr>
        <w:t>；罐周长为</w:t>
      </w:r>
      <w:r>
        <w:rPr>
          <w:rFonts w:ascii="Times New Roman" w:hAnsi="Times New Roman"/>
        </w:rPr>
        <w:t>75.40 m</w:t>
      </w:r>
      <w:r>
        <w:rPr>
          <w:rFonts w:ascii="Times New Roman" w:hAnsi="Times New Roman"/>
        </w:rPr>
        <w:t>，为使相邻通气孔间距不大于</w:t>
      </w:r>
      <w:r>
        <w:rPr>
          <w:rFonts w:ascii="Times New Roman" w:hAnsi="Times New Roman"/>
        </w:rPr>
        <w:t>10 m</w:t>
      </w:r>
      <w:r>
        <w:rPr>
          <w:rFonts w:ascii="Times New Roman" w:hAnsi="Times New Roman"/>
        </w:rPr>
        <w:t>，环向通气孔数量取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个，均匀间距为</w:t>
      </w:r>
      <w:r>
        <w:rPr>
          <w:rFonts w:ascii="Times New Roman" w:hAnsi="Times New Roman"/>
        </w:rPr>
        <w:t>9.43 m</w:t>
      </w:r>
      <w:r>
        <w:rPr>
          <w:rFonts w:ascii="Times New Roman" w:hAnsi="Times New Roman"/>
        </w:rPr>
        <w:t>。每个通气孔外形尺寸取</w:t>
      </w:r>
      <w:r>
        <w:rPr>
          <w:rFonts w:ascii="Times New Roman" w:hAnsi="Times New Roman"/>
        </w:rPr>
        <w:t>500 mm×450 mm</w:t>
      </w:r>
      <w:r>
        <w:rPr>
          <w:rFonts w:ascii="Times New Roman" w:hAnsi="Times New Roman"/>
        </w:rPr>
        <w:t>，并保证安装防护网后的净有效通气面积不小于</w:t>
      </w:r>
      <w:r>
        <w:rPr>
          <w:rFonts w:ascii="Times New Roman" w:hAnsi="Times New Roman"/>
        </w:rPr>
        <w:t>0.18 m²</w:t>
      </w:r>
      <w:r>
        <w:rPr>
          <w:rFonts w:ascii="Times New Roman" w:hAnsi="Times New Roman"/>
        </w:rPr>
        <w:t>。固定顶中心另设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DN250</w:t>
      </w:r>
      <w:r>
        <w:rPr>
          <w:rFonts w:ascii="Times New Roman" w:hAnsi="Times New Roman"/>
        </w:rPr>
        <w:t>罐顶通气孔，净有效通气面积不小于</w:t>
      </w:r>
      <w:r>
        <w:rPr>
          <w:rFonts w:ascii="Times New Roman" w:hAnsi="Times New Roman"/>
        </w:rPr>
        <w:t>300 cm²</w:t>
      </w:r>
      <w:r>
        <w:rPr>
          <w:rFonts w:ascii="Times New Roman" w:hAnsi="Times New Roman"/>
        </w:rPr>
        <w:t>。环向及中心通气孔均设置防雨罩和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目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寸耐腐蚀钢丝网。</w:t>
      </w:r>
    </w:p>
    <w:p w14:paraId="4B130891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每座汽油罐内浮顶设置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DN200</w:t>
      </w:r>
      <w:r>
        <w:rPr>
          <w:rFonts w:ascii="Times New Roman" w:hAnsi="Times New Roman"/>
        </w:rPr>
        <w:t>自动通气阀，对称布置于浮盘上。自动通气阀在浮盘支撑状态下开启、浮盘起浮后关闭，两个阀的总额定通气能力不小于</w:t>
      </w:r>
      <w:r>
        <w:rPr>
          <w:rFonts w:ascii="Times New Roman" w:hAnsi="Times New Roman"/>
        </w:rPr>
        <w:t>120 m³/h</w:t>
      </w:r>
      <w:r>
        <w:rPr>
          <w:rFonts w:ascii="Times New Roman" w:hAnsi="Times New Roman"/>
        </w:rPr>
        <w:t>，为单罐最大进出油量</w:t>
      </w:r>
      <w:r>
        <w:rPr>
          <w:rFonts w:ascii="Times New Roman" w:hAnsi="Times New Roman"/>
        </w:rPr>
        <w:t>60 m³/h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倍，满足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9.6.1</w:t>
      </w:r>
      <w:r>
        <w:rPr>
          <w:rFonts w:ascii="Times New Roman" w:hAnsi="Times New Roman"/>
        </w:rPr>
        <w:t>条关于按最大收发油量确定通气面积的要求。</w:t>
      </w:r>
    </w:p>
    <w:p w14:paraId="343C8775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柴油固定顶罐依据</w:t>
      </w:r>
      <w:r>
        <w:rPr>
          <w:rFonts w:ascii="Times New Roman" w:hAnsi="Times New Roman"/>
        </w:rPr>
        <w:t>HJ 853—2017</w:t>
      </w: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E.8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5000 m³</w:t>
      </w:r>
      <w:r>
        <w:rPr>
          <w:rFonts w:ascii="Times New Roman" w:hAnsi="Times New Roman"/>
        </w:rPr>
        <w:t>储罐的配置，每座设置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套</w:t>
      </w:r>
      <w:r>
        <w:rPr>
          <w:rFonts w:ascii="Times New Roman" w:hAnsi="Times New Roman"/>
        </w:rPr>
        <w:t>DN150</w:t>
      </w:r>
      <w:r>
        <w:rPr>
          <w:rFonts w:ascii="Times New Roman" w:hAnsi="Times New Roman"/>
        </w:rPr>
        <w:t>压力真空呼吸阀，并在阀下分别配置</w:t>
      </w:r>
      <w:r>
        <w:rPr>
          <w:rFonts w:ascii="Times New Roman" w:hAnsi="Times New Roman"/>
        </w:rPr>
        <w:t>DN150</w:t>
      </w:r>
      <w:r>
        <w:rPr>
          <w:rFonts w:ascii="Times New Roman" w:hAnsi="Times New Roman"/>
        </w:rPr>
        <w:t>阻火器。两套装置并联工作，总额定呼吸能力不小于</w:t>
      </w:r>
      <w:r>
        <w:rPr>
          <w:rFonts w:ascii="Times New Roman" w:hAnsi="Times New Roman"/>
        </w:rPr>
        <w:t>120 m³/h</w:t>
      </w:r>
      <w:r>
        <w:rPr>
          <w:rFonts w:ascii="Times New Roman" w:hAnsi="Times New Roman"/>
        </w:rPr>
        <w:t>；呼吸阀定压范围与本章采用的常压储罐设计压力相协调。每座罐另设置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套</w:t>
      </w:r>
      <w:r>
        <w:rPr>
          <w:rFonts w:ascii="Times New Roman" w:hAnsi="Times New Roman"/>
        </w:rPr>
        <w:t>DN500</w:t>
      </w:r>
      <w:r>
        <w:rPr>
          <w:rFonts w:ascii="Times New Roman" w:hAnsi="Times New Roman"/>
        </w:rPr>
        <w:t>紧急泄压人孔，其有效泄放能力按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火灾工况确定。</w:t>
      </w:r>
    </w:p>
    <w:p w14:paraId="112552BF" w14:textId="77777777" w:rsidR="00B4640D" w:rsidRDefault="00247747">
      <w:pPr>
        <w:keepNext/>
        <w:widowControl/>
        <w:ind w:firstLine="482"/>
      </w:pPr>
      <w:r>
        <w:rPr>
          <w:rFonts w:ascii="Times New Roman" w:hAnsi="Times New Roman"/>
          <w:b/>
        </w:rPr>
        <w:lastRenderedPageBreak/>
        <w:t>（</w:t>
      </w:r>
      <w:r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）计量、排污及安全附件</w:t>
      </w:r>
    </w:p>
    <w:p w14:paraId="5FE4288D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每座储罐设置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DN150</w:t>
      </w:r>
      <w:r>
        <w:rPr>
          <w:rFonts w:ascii="Times New Roman" w:hAnsi="Times New Roman"/>
        </w:rPr>
        <w:t>密闭量油取样孔，配置可锁闭盖和耐油密封垫；汽油罐内浮顶对应设置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DN200</w:t>
      </w:r>
      <w:r>
        <w:rPr>
          <w:rFonts w:ascii="Times New Roman" w:hAnsi="Times New Roman"/>
        </w:rPr>
        <w:t>量油导向井，导向井穿过浮盘处采用柔性密封。每座罐设置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套连续远传液位计、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套独立高高液位开关和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套多点温度计。液位测量与独立高高液位开关分设取源口，避免单一仪表故障同时影响计量和防溢流保护。</w:t>
      </w:r>
    </w:p>
    <w:p w14:paraId="4EF487C8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汽油和柴油均属于轻质油品，每座储罐设置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DN100</w:t>
      </w:r>
      <w:r>
        <w:rPr>
          <w:rFonts w:ascii="Times New Roman" w:hAnsi="Times New Roman"/>
        </w:rPr>
        <w:t>排污口和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DN80</w:t>
      </w:r>
      <w:r>
        <w:rPr>
          <w:rFonts w:ascii="Times New Roman" w:hAnsi="Times New Roman"/>
        </w:rPr>
        <w:t>罐底排水管。排污口及排水管均采用双阀隔离，出口接入闭式含油污水或污油收集系统，不直接排入防火堤雨水沟。储罐进油接管取</w:t>
      </w:r>
      <w:r>
        <w:rPr>
          <w:rFonts w:ascii="Times New Roman" w:hAnsi="Times New Roman"/>
        </w:rPr>
        <w:t>DN125</w:t>
      </w:r>
      <w:r>
        <w:rPr>
          <w:rFonts w:ascii="Times New Roman" w:hAnsi="Times New Roman"/>
        </w:rPr>
        <w:t>，延伸至罐底附近形成液下进油；出油接管取</w:t>
      </w:r>
      <w:r>
        <w:rPr>
          <w:rFonts w:ascii="Times New Roman" w:hAnsi="Times New Roman"/>
        </w:rPr>
        <w:t>DN150</w:t>
      </w:r>
      <w:r>
        <w:rPr>
          <w:rFonts w:ascii="Times New Roman" w:hAnsi="Times New Roman"/>
        </w:rPr>
        <w:t>，与第</w:t>
      </w:r>
      <w:r>
        <w:rPr>
          <w:rFonts w:ascii="Times New Roman" w:hAnsi="Times New Roman"/>
        </w:rPr>
        <w:t>5.2</w:t>
      </w:r>
      <w:r>
        <w:rPr>
          <w:rFonts w:ascii="Times New Roman" w:hAnsi="Times New Roman"/>
        </w:rPr>
        <w:t>节确定的泵吸入管连接。各接管与罐壁连接处设置补强板，补强面积按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10.2</w:t>
      </w:r>
      <w:r>
        <w:rPr>
          <w:rFonts w:ascii="Times New Roman" w:hAnsi="Times New Roman"/>
        </w:rPr>
        <w:t>节校核。</w:t>
      </w:r>
    </w:p>
    <w:p w14:paraId="1609E657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每座汽油内浮顶罐的浮盘与罐体之间设置不少于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根截面积</w:t>
      </w:r>
      <w:r>
        <w:rPr>
          <w:rFonts w:ascii="Times New Roman" w:hAnsi="Times New Roman"/>
        </w:rPr>
        <w:t>25 mm²</w:t>
      </w:r>
      <w:r>
        <w:rPr>
          <w:rFonts w:ascii="Times New Roman" w:hAnsi="Times New Roman"/>
        </w:rPr>
        <w:t>的镀锡软铜复绞线，并设置导向及防旋转装置；所有储罐设置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个接地连接板、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套盘梯和罐顶操作平台。消防泡沫、冷却水及液位联锁接口与第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章消防和自控系统保持一致。各类附件的数量和规格汇总见表</w:t>
      </w:r>
      <w:r>
        <w:rPr>
          <w:rFonts w:ascii="Times New Roman" w:hAnsi="Times New Roman"/>
        </w:rPr>
        <w:t>5-5</w:t>
      </w:r>
      <w:r>
        <w:rPr>
          <w:rFonts w:ascii="Times New Roman" w:hAnsi="Times New Roman"/>
        </w:rPr>
        <w:t>。</w:t>
      </w:r>
    </w:p>
    <w:p w14:paraId="14D6538D" w14:textId="77777777" w:rsidR="00B4640D" w:rsidRDefault="00247747">
      <w:pPr>
        <w:pStyle w:val="af4"/>
        <w:keepNext/>
        <w:spacing w:before="120" w:after="60"/>
        <w:ind w:firstLine="442"/>
      </w:pPr>
      <w:r>
        <w:t>表</w:t>
      </w:r>
      <w:r>
        <w:t>5-5 5000 m³</w:t>
      </w:r>
      <w:r>
        <w:t>储罐主要附件数量与规格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2551"/>
        <w:gridCol w:w="1191"/>
        <w:gridCol w:w="2551"/>
        <w:gridCol w:w="1191"/>
      </w:tblGrid>
      <w:tr w:rsidR="00B4640D" w14:paraId="6DE13752" w14:textId="77777777">
        <w:trPr>
          <w:tblHeader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007AF" w14:textId="77777777" w:rsidR="00B4640D" w:rsidRDefault="00247747">
            <w:pPr>
              <w:spacing w:line="240" w:lineRule="auto"/>
              <w:ind w:firstLine="341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附件名称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3BF03" w14:textId="77777777" w:rsidR="00B4640D" w:rsidRDefault="00247747">
            <w:pPr>
              <w:spacing w:line="240" w:lineRule="auto"/>
              <w:ind w:firstLine="341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汽油内浮顶罐（每座）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38212" w14:textId="77777777" w:rsidR="00B4640D" w:rsidRDefault="00247747">
            <w:pPr>
              <w:spacing w:line="240" w:lineRule="auto"/>
              <w:ind w:firstLine="341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</w:t>
            </w:r>
            <w:r>
              <w:rPr>
                <w:rFonts w:ascii="Times New Roman" w:hAnsi="Times New Roman"/>
                <w:b/>
                <w:sz w:val="17"/>
              </w:rPr>
              <w:t>座汽油罐合计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1DE49" w14:textId="77777777" w:rsidR="00B4640D" w:rsidRDefault="00247747">
            <w:pPr>
              <w:spacing w:line="240" w:lineRule="auto"/>
              <w:ind w:firstLine="341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柴油固定顶罐（每座）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956BC" w14:textId="77777777" w:rsidR="00B4640D" w:rsidRDefault="00247747">
            <w:pPr>
              <w:spacing w:line="240" w:lineRule="auto"/>
              <w:ind w:firstLine="341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</w:t>
            </w:r>
            <w:r>
              <w:rPr>
                <w:rFonts w:ascii="Times New Roman" w:hAnsi="Times New Roman"/>
                <w:b/>
                <w:sz w:val="17"/>
              </w:rPr>
              <w:t>座柴油罐合计</w:t>
            </w:r>
          </w:p>
        </w:tc>
      </w:tr>
      <w:tr w:rsidR="00B4640D" w14:paraId="0B6EECD4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43A8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罐壁低位人孔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5282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个，内径</w:t>
            </w:r>
            <w:r>
              <w:rPr>
                <w:rFonts w:ascii="Times New Roman" w:hAnsi="Times New Roman"/>
                <w:sz w:val="17"/>
              </w:rPr>
              <w:t>610 mm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1358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071E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个，内径</w:t>
            </w:r>
            <w:r>
              <w:rPr>
                <w:rFonts w:ascii="Times New Roman" w:hAnsi="Times New Roman"/>
                <w:sz w:val="17"/>
              </w:rPr>
              <w:t>610 mm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FC68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31B77334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029B4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罐壁高位人孔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CAA12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个，内径</w:t>
            </w:r>
            <w:r>
              <w:rPr>
                <w:rFonts w:ascii="Times New Roman" w:hAnsi="Times New Roman"/>
                <w:sz w:val="17"/>
              </w:rPr>
              <w:t>610 mm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5398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D94D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4B66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B4640D" w14:paraId="41AEE608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B522D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固定顶人孔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C82B5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个，净径</w:t>
            </w:r>
            <w:r>
              <w:rPr>
                <w:rFonts w:ascii="Times New Roman" w:hAnsi="Times New Roman"/>
                <w:sz w:val="17"/>
              </w:rPr>
              <w:t>600 mm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F24F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A991B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个，内径</w:t>
            </w:r>
            <w:r>
              <w:rPr>
                <w:rFonts w:ascii="Times New Roman" w:hAnsi="Times New Roman"/>
                <w:sz w:val="17"/>
              </w:rPr>
              <w:t>500 mm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09E8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52545577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B88D6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内浮顶人孔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D61F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个，净径</w:t>
            </w:r>
            <w:r>
              <w:rPr>
                <w:rFonts w:ascii="Times New Roman" w:hAnsi="Times New Roman"/>
                <w:sz w:val="17"/>
              </w:rPr>
              <w:t>600 mm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4340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D78BD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DD656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B4640D" w14:paraId="2D4C4FC3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FA73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透光孔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F0C3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5C53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BEA9B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DN500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4206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43EF50A5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CA9BB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量油取样孔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8462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DN150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6EF47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62C5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DN150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0E71E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0107EFA9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59D09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量油导向井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64CF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DN200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392C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17C41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8C5C5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B4640D" w14:paraId="6A6CE7C9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1D8C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环向通气孔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4F3A1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500 mm×450 mm</w:t>
            </w:r>
            <w:r>
              <w:rPr>
                <w:rFonts w:ascii="Times New Roman" w:hAnsi="Times New Roman"/>
                <w:sz w:val="17"/>
              </w:rPr>
              <w:t>；每个净面积</w:t>
            </w:r>
            <w:r>
              <w:rPr>
                <w:rFonts w:ascii="Times New Roman" w:hAnsi="Times New Roman"/>
                <w:sz w:val="17"/>
              </w:rPr>
              <w:t>≥0.18 m²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3171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40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A3E0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BC68D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B4640D" w14:paraId="36C2082F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4FEAE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中心通气孔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B524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DN250</w:t>
            </w:r>
            <w:r>
              <w:rPr>
                <w:rFonts w:ascii="Times New Roman" w:hAnsi="Times New Roman"/>
                <w:sz w:val="17"/>
              </w:rPr>
              <w:t>；净面积</w:t>
            </w:r>
            <w:r>
              <w:rPr>
                <w:rFonts w:ascii="Times New Roman" w:hAnsi="Times New Roman"/>
                <w:sz w:val="17"/>
              </w:rPr>
              <w:t>≥300 cm²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0F57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5B77E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D0769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B4640D" w14:paraId="0EAC8DBC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0C006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自动通气阀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394ED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DN200</w:t>
            </w:r>
            <w:r>
              <w:rPr>
                <w:rFonts w:ascii="Times New Roman" w:hAnsi="Times New Roman"/>
                <w:sz w:val="17"/>
              </w:rPr>
              <w:t>；总能力</w:t>
            </w:r>
            <w:r>
              <w:rPr>
                <w:rFonts w:ascii="Times New Roman" w:hAnsi="Times New Roman"/>
                <w:sz w:val="17"/>
              </w:rPr>
              <w:t>≥120 m³/h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50D6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0294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D0C44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B4640D" w14:paraId="2B958C9A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61089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lastRenderedPageBreak/>
              <w:t>呼吸阀及阻火器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503D4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0AE5D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DF12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DN150</w:t>
            </w:r>
            <w:r>
              <w:rPr>
                <w:rFonts w:ascii="Times New Roman" w:hAnsi="Times New Roman"/>
                <w:sz w:val="17"/>
              </w:rPr>
              <w:t>；总能力</w:t>
            </w:r>
            <w:r>
              <w:rPr>
                <w:rFonts w:ascii="Times New Roman" w:hAnsi="Times New Roman"/>
                <w:sz w:val="17"/>
              </w:rPr>
              <w:t>≥120 m³/h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9A7C1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4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60DE4911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FC29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紧急泄压人孔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9021B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2AB3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E210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DN500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72760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67BBD9F1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5FE0C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排污口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FE946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DN100</w:t>
            </w:r>
            <w:r>
              <w:rPr>
                <w:rFonts w:ascii="Times New Roman" w:hAnsi="Times New Roman"/>
                <w:sz w:val="17"/>
              </w:rPr>
              <w:t>，双阀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5173E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9862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个，</w:t>
            </w:r>
            <w:r>
              <w:rPr>
                <w:rFonts w:ascii="Times New Roman" w:hAnsi="Times New Roman"/>
                <w:sz w:val="17"/>
              </w:rPr>
              <w:t>DN100</w:t>
            </w:r>
            <w:r>
              <w:rPr>
                <w:rFonts w:ascii="Times New Roman" w:hAnsi="Times New Roman"/>
                <w:sz w:val="17"/>
              </w:rPr>
              <w:t>，双阀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D78B1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5FD50597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4E2D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罐底排水管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04334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根，</w:t>
            </w:r>
            <w:r>
              <w:rPr>
                <w:rFonts w:ascii="Times New Roman" w:hAnsi="Times New Roman"/>
                <w:sz w:val="17"/>
              </w:rPr>
              <w:t>DN80</w:t>
            </w:r>
            <w:r>
              <w:rPr>
                <w:rFonts w:ascii="Times New Roman" w:hAnsi="Times New Roman"/>
                <w:sz w:val="17"/>
              </w:rPr>
              <w:t>，双阀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EF297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根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D5661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根，</w:t>
            </w:r>
            <w:r>
              <w:rPr>
                <w:rFonts w:ascii="Times New Roman" w:hAnsi="Times New Roman"/>
                <w:sz w:val="17"/>
              </w:rPr>
              <w:t>DN80</w:t>
            </w:r>
            <w:r>
              <w:rPr>
                <w:rFonts w:ascii="Times New Roman" w:hAnsi="Times New Roman"/>
                <w:sz w:val="17"/>
              </w:rPr>
              <w:t>，双阀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7CB0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根</w:t>
            </w:r>
          </w:p>
        </w:tc>
      </w:tr>
      <w:tr w:rsidR="00B4640D" w14:paraId="25F49524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44C39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进油</w:t>
            </w:r>
            <w:r>
              <w:rPr>
                <w:rFonts w:ascii="Times New Roman" w:hAnsi="Times New Roman"/>
                <w:sz w:val="17"/>
              </w:rPr>
              <w:t>/</w:t>
            </w:r>
            <w:r>
              <w:rPr>
                <w:rFonts w:ascii="Times New Roman" w:hAnsi="Times New Roman"/>
                <w:sz w:val="17"/>
              </w:rPr>
              <w:t>出油接管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CDC6D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DN125/DN150</w:t>
            </w: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14ADE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1F77F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DN125/DN150</w:t>
            </w: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09C9A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个</w:t>
            </w:r>
          </w:p>
        </w:tc>
      </w:tr>
      <w:tr w:rsidR="00B4640D" w14:paraId="600FD34C" w14:textId="77777777">
        <w:trPr>
          <w:cantSplit/>
          <w:jc w:val="center"/>
        </w:trPr>
        <w:tc>
          <w:tcPr>
            <w:tcW w:w="15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A4DB6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液位及温度仪表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40B78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液位计、高高液位开关、多点温度计各</w:t>
            </w: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套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8D7F5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5</w:t>
            </w:r>
            <w:r>
              <w:rPr>
                <w:rFonts w:ascii="Times New Roman" w:hAnsi="Times New Roman"/>
                <w:sz w:val="17"/>
              </w:rPr>
              <w:t>套</w:t>
            </w:r>
          </w:p>
        </w:tc>
        <w:tc>
          <w:tcPr>
            <w:tcW w:w="2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191EB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液位计、高高液位开关、多点温度计各</w:t>
            </w:r>
            <w:r>
              <w:rPr>
                <w:rFonts w:ascii="Times New Roman" w:hAnsi="Times New Roman"/>
                <w:sz w:val="17"/>
              </w:rPr>
              <w:t>1</w:t>
            </w:r>
            <w:r>
              <w:rPr>
                <w:rFonts w:ascii="Times New Roman" w:hAnsi="Times New Roman"/>
                <w:sz w:val="17"/>
              </w:rPr>
              <w:t>套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7BBE4" w14:textId="77777777" w:rsidR="00B4640D" w:rsidRDefault="00247747">
            <w:pPr>
              <w:spacing w:line="240" w:lineRule="auto"/>
              <w:ind w:firstLine="340"/>
              <w:jc w:val="center"/>
            </w:pPr>
            <w:r>
              <w:rPr>
                <w:rFonts w:ascii="Times New Roman" w:hAnsi="Times New Roman"/>
                <w:sz w:val="17"/>
              </w:rPr>
              <w:t>各</w:t>
            </w:r>
            <w:r>
              <w:rPr>
                <w:rFonts w:ascii="Times New Roman" w:hAnsi="Times New Roman"/>
                <w:sz w:val="17"/>
              </w:rPr>
              <w:t>2</w:t>
            </w:r>
            <w:r>
              <w:rPr>
                <w:rFonts w:ascii="Times New Roman" w:hAnsi="Times New Roman"/>
                <w:sz w:val="17"/>
              </w:rPr>
              <w:t>套</w:t>
            </w:r>
          </w:p>
        </w:tc>
      </w:tr>
    </w:tbl>
    <w:p w14:paraId="5A29F0A9" w14:textId="77777777" w:rsidR="00B4640D" w:rsidRDefault="00B4640D">
      <w:pPr>
        <w:ind w:firstLine="480"/>
      </w:pPr>
    </w:p>
    <w:p w14:paraId="16026C5F" w14:textId="77777777" w:rsidR="00B4640D" w:rsidRDefault="00247747">
      <w:pPr>
        <w:widowControl/>
        <w:ind w:firstLine="480"/>
      </w:pPr>
      <w:r>
        <w:rPr>
          <w:rFonts w:ascii="Times New Roman" w:hAnsi="Times New Roman"/>
        </w:rPr>
        <w:t>注：表中附件数量按单罐公称容量</w:t>
      </w:r>
      <w:r>
        <w:rPr>
          <w:rFonts w:ascii="Times New Roman" w:hAnsi="Times New Roman"/>
        </w:rPr>
        <w:t>5000 m³</w:t>
      </w:r>
      <w:r>
        <w:rPr>
          <w:rFonts w:ascii="Times New Roman" w:hAnsi="Times New Roman"/>
        </w:rPr>
        <w:t>确定。人孔、通气孔及开孔补强执行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；附件数量参考</w:t>
      </w:r>
      <w:r>
        <w:rPr>
          <w:rFonts w:ascii="Times New Roman" w:hAnsi="Times New Roman"/>
        </w:rPr>
        <w:t>HJ 853—2017</w:t>
      </w: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E.6</w:t>
      </w:r>
      <w:r>
        <w:rPr>
          <w:rFonts w:ascii="Times New Roman" w:hAnsi="Times New Roman"/>
        </w:rPr>
        <w:t>～表</w:t>
      </w:r>
      <w:r>
        <w:rPr>
          <w:rFonts w:ascii="Times New Roman" w:hAnsi="Times New Roman"/>
        </w:rPr>
        <w:t>E.8</w:t>
      </w:r>
      <w:r>
        <w:rPr>
          <w:rFonts w:ascii="Times New Roman" w:hAnsi="Times New Roman"/>
        </w:rPr>
        <w:t>，并结合内浮顶罐检修与通气的专门条款确定。</w:t>
      </w:r>
    </w:p>
    <w:sectPr w:rsidR="00B464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  <w:numRestart w:val="eachPage"/>
      </w:footnotePr>
      <w:pgSz w:w="11906" w:h="16838"/>
      <w:pgMar w:top="1417" w:right="1417" w:bottom="1417" w:left="1417" w:header="907" w:footer="85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50D16" w14:textId="77777777" w:rsidR="00247747" w:rsidRDefault="00247747">
      <w:pPr>
        <w:spacing w:line="240" w:lineRule="auto"/>
        <w:ind w:firstLine="480"/>
      </w:pPr>
      <w:r>
        <w:separator/>
      </w:r>
    </w:p>
  </w:endnote>
  <w:endnote w:type="continuationSeparator" w:id="0">
    <w:p w14:paraId="5C5D97C2" w14:textId="77777777" w:rsidR="00247747" w:rsidRDefault="0024774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74761F9-60D6-4C78-9E88-75940FC40B9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FF15B31C-E81A-4B62-B435-6B91F69F79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E2E4E1-EFEC-488B-BA7E-9DD723493EF1}"/>
    <w:embedItalic r:id="rId4" w:fontKey="{6B1F7F2D-14B7-4C79-8BCC-A55E624EEAE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3A2B" w14:textId="77777777" w:rsidR="00113520" w:rsidRDefault="00113520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093A" w14:textId="77777777" w:rsidR="00B4640D" w:rsidRDefault="00247747">
    <w:pPr>
      <w:pStyle w:val="a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9556D1" wp14:editId="603050F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9EE0AF" w14:textId="77777777" w:rsidR="00B4640D" w:rsidRDefault="00247747">
                          <w:pPr>
                            <w:pStyle w:val="a6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m63mM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Jut5j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F2D4FC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FB1E" w14:textId="77777777" w:rsidR="00113520" w:rsidRDefault="00113520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9789" w14:textId="77777777" w:rsidR="00247747" w:rsidRDefault="00247747">
      <w:pPr>
        <w:ind w:firstLine="480"/>
      </w:pPr>
      <w:r>
        <w:separator/>
      </w:r>
    </w:p>
  </w:footnote>
  <w:footnote w:type="continuationSeparator" w:id="0">
    <w:p w14:paraId="7BA025A8" w14:textId="77777777" w:rsidR="00247747" w:rsidRDefault="0024774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64B0" w14:textId="77777777" w:rsidR="00113520" w:rsidRDefault="0011352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6F03" w14:textId="77777777" w:rsidR="00113520" w:rsidRDefault="00113520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97D39" w14:textId="77777777" w:rsidR="00113520" w:rsidRDefault="00113520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D64523"/>
    <w:multiLevelType w:val="singleLevel"/>
    <w:tmpl w:val="EBD64523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191701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saveSubset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kZDRjNjE4MTk3ODRlMjI0Nzg5MjhmMGEwNmJlZDMifQ=="/>
  </w:docVars>
  <w:rsids>
    <w:rsidRoot w:val="103941EB"/>
    <w:rsid w:val="00113520"/>
    <w:rsid w:val="00162677"/>
    <w:rsid w:val="001632A8"/>
    <w:rsid w:val="001D5F28"/>
    <w:rsid w:val="00247747"/>
    <w:rsid w:val="002B06D1"/>
    <w:rsid w:val="00311C18"/>
    <w:rsid w:val="004C314F"/>
    <w:rsid w:val="004E7D88"/>
    <w:rsid w:val="00527BED"/>
    <w:rsid w:val="00540860"/>
    <w:rsid w:val="005F2C11"/>
    <w:rsid w:val="0061467C"/>
    <w:rsid w:val="006849AC"/>
    <w:rsid w:val="006F501F"/>
    <w:rsid w:val="006F601D"/>
    <w:rsid w:val="007C0F2D"/>
    <w:rsid w:val="007D164C"/>
    <w:rsid w:val="00824069"/>
    <w:rsid w:val="00872085"/>
    <w:rsid w:val="00913446"/>
    <w:rsid w:val="009204F8"/>
    <w:rsid w:val="009A5857"/>
    <w:rsid w:val="009D5C3E"/>
    <w:rsid w:val="009E70F5"/>
    <w:rsid w:val="00A57743"/>
    <w:rsid w:val="00A93A66"/>
    <w:rsid w:val="00AB23E9"/>
    <w:rsid w:val="00B20DF2"/>
    <w:rsid w:val="00B2613F"/>
    <w:rsid w:val="00B4640D"/>
    <w:rsid w:val="00BB2971"/>
    <w:rsid w:val="00BB446B"/>
    <w:rsid w:val="00CC3B60"/>
    <w:rsid w:val="00D37D63"/>
    <w:rsid w:val="00D5416B"/>
    <w:rsid w:val="00D64AE1"/>
    <w:rsid w:val="00DE7B1F"/>
    <w:rsid w:val="00E031C5"/>
    <w:rsid w:val="023169E5"/>
    <w:rsid w:val="0298415E"/>
    <w:rsid w:val="02BD75DA"/>
    <w:rsid w:val="02DE47A8"/>
    <w:rsid w:val="03653EFA"/>
    <w:rsid w:val="036F6B27"/>
    <w:rsid w:val="038866DA"/>
    <w:rsid w:val="048C5579"/>
    <w:rsid w:val="04954A53"/>
    <w:rsid w:val="04B425C4"/>
    <w:rsid w:val="04E1656E"/>
    <w:rsid w:val="05060B06"/>
    <w:rsid w:val="052B4CCF"/>
    <w:rsid w:val="052E509C"/>
    <w:rsid w:val="05BC559D"/>
    <w:rsid w:val="05F92040"/>
    <w:rsid w:val="05FE23E4"/>
    <w:rsid w:val="067A38E7"/>
    <w:rsid w:val="0691317E"/>
    <w:rsid w:val="06E25862"/>
    <w:rsid w:val="077010BF"/>
    <w:rsid w:val="07B0770E"/>
    <w:rsid w:val="07B215FB"/>
    <w:rsid w:val="08072462"/>
    <w:rsid w:val="080D363E"/>
    <w:rsid w:val="081212AC"/>
    <w:rsid w:val="08294AF7"/>
    <w:rsid w:val="083060FE"/>
    <w:rsid w:val="085D1690"/>
    <w:rsid w:val="087A4E0A"/>
    <w:rsid w:val="08DC43FA"/>
    <w:rsid w:val="08F203BB"/>
    <w:rsid w:val="090F0357"/>
    <w:rsid w:val="090F115B"/>
    <w:rsid w:val="096E5786"/>
    <w:rsid w:val="098A7634"/>
    <w:rsid w:val="099E3CC2"/>
    <w:rsid w:val="09D122E9"/>
    <w:rsid w:val="09E74FFF"/>
    <w:rsid w:val="09F9288F"/>
    <w:rsid w:val="0A187F18"/>
    <w:rsid w:val="0A407D85"/>
    <w:rsid w:val="0AA92B28"/>
    <w:rsid w:val="0B1701D0"/>
    <w:rsid w:val="0BB37B36"/>
    <w:rsid w:val="0C47587E"/>
    <w:rsid w:val="0C616DDD"/>
    <w:rsid w:val="0C857F09"/>
    <w:rsid w:val="0CBD0903"/>
    <w:rsid w:val="0CEC74C9"/>
    <w:rsid w:val="0D9074CF"/>
    <w:rsid w:val="0DD904BC"/>
    <w:rsid w:val="0DE35F7C"/>
    <w:rsid w:val="0E492639"/>
    <w:rsid w:val="0E4B0190"/>
    <w:rsid w:val="0E77482B"/>
    <w:rsid w:val="0E7E2314"/>
    <w:rsid w:val="0F096081"/>
    <w:rsid w:val="0F274759"/>
    <w:rsid w:val="0F501F02"/>
    <w:rsid w:val="0FCE1079"/>
    <w:rsid w:val="10096E60"/>
    <w:rsid w:val="103941EB"/>
    <w:rsid w:val="106E1F77"/>
    <w:rsid w:val="10BD6382"/>
    <w:rsid w:val="114D7C0E"/>
    <w:rsid w:val="11A92B9B"/>
    <w:rsid w:val="11FA6155"/>
    <w:rsid w:val="11FF551A"/>
    <w:rsid w:val="122375E8"/>
    <w:rsid w:val="123A5D65"/>
    <w:rsid w:val="127A2BA1"/>
    <w:rsid w:val="12804E04"/>
    <w:rsid w:val="12865C3B"/>
    <w:rsid w:val="12A10CC7"/>
    <w:rsid w:val="12EF71BC"/>
    <w:rsid w:val="132260C6"/>
    <w:rsid w:val="136043D7"/>
    <w:rsid w:val="13714EF1"/>
    <w:rsid w:val="1381490C"/>
    <w:rsid w:val="14740A1C"/>
    <w:rsid w:val="148D0458"/>
    <w:rsid w:val="14D81D91"/>
    <w:rsid w:val="151439D2"/>
    <w:rsid w:val="156A2896"/>
    <w:rsid w:val="1594152E"/>
    <w:rsid w:val="15C76E63"/>
    <w:rsid w:val="160C6659"/>
    <w:rsid w:val="1646419B"/>
    <w:rsid w:val="167B1172"/>
    <w:rsid w:val="16BF21A1"/>
    <w:rsid w:val="171E2B79"/>
    <w:rsid w:val="176C668F"/>
    <w:rsid w:val="17C36FE9"/>
    <w:rsid w:val="17C90A93"/>
    <w:rsid w:val="17C95CE1"/>
    <w:rsid w:val="17D50129"/>
    <w:rsid w:val="17E05A13"/>
    <w:rsid w:val="183F23B9"/>
    <w:rsid w:val="19486E8E"/>
    <w:rsid w:val="19CA28B1"/>
    <w:rsid w:val="1A201C9A"/>
    <w:rsid w:val="1A5B334B"/>
    <w:rsid w:val="1A626F8D"/>
    <w:rsid w:val="1A8962C8"/>
    <w:rsid w:val="1AA90ECC"/>
    <w:rsid w:val="1ADC1279"/>
    <w:rsid w:val="1AEB73B7"/>
    <w:rsid w:val="1B097409"/>
    <w:rsid w:val="1B1A4284"/>
    <w:rsid w:val="1B54283C"/>
    <w:rsid w:val="1B6803D5"/>
    <w:rsid w:val="1B843C3F"/>
    <w:rsid w:val="1B872AB8"/>
    <w:rsid w:val="1BB82AAA"/>
    <w:rsid w:val="1C6C7C4F"/>
    <w:rsid w:val="1CAA7AEA"/>
    <w:rsid w:val="1CC22A0B"/>
    <w:rsid w:val="1CEF63EF"/>
    <w:rsid w:val="1CF55E97"/>
    <w:rsid w:val="1D3764AF"/>
    <w:rsid w:val="1D563579"/>
    <w:rsid w:val="1D682B0D"/>
    <w:rsid w:val="1D8D60CF"/>
    <w:rsid w:val="1D9F56A6"/>
    <w:rsid w:val="1DC35F95"/>
    <w:rsid w:val="1E0F3541"/>
    <w:rsid w:val="1E287B89"/>
    <w:rsid w:val="1E2C156D"/>
    <w:rsid w:val="1E785E11"/>
    <w:rsid w:val="1E8F2A30"/>
    <w:rsid w:val="1EBC4B43"/>
    <w:rsid w:val="1F144C76"/>
    <w:rsid w:val="1F2F43ED"/>
    <w:rsid w:val="1FE30BF5"/>
    <w:rsid w:val="20140D2A"/>
    <w:rsid w:val="2039253E"/>
    <w:rsid w:val="20554782"/>
    <w:rsid w:val="206D09F2"/>
    <w:rsid w:val="20896F92"/>
    <w:rsid w:val="209B6D55"/>
    <w:rsid w:val="20B339EE"/>
    <w:rsid w:val="20B44934"/>
    <w:rsid w:val="20EC0B9C"/>
    <w:rsid w:val="215533C5"/>
    <w:rsid w:val="21754D72"/>
    <w:rsid w:val="218570E2"/>
    <w:rsid w:val="21932171"/>
    <w:rsid w:val="22081361"/>
    <w:rsid w:val="220B1CB9"/>
    <w:rsid w:val="22F7746D"/>
    <w:rsid w:val="230D5C1C"/>
    <w:rsid w:val="233F7E6C"/>
    <w:rsid w:val="2374236A"/>
    <w:rsid w:val="23974A32"/>
    <w:rsid w:val="23D56C35"/>
    <w:rsid w:val="24080638"/>
    <w:rsid w:val="24596D0B"/>
    <w:rsid w:val="2499461A"/>
    <w:rsid w:val="24AA7567"/>
    <w:rsid w:val="24B970CD"/>
    <w:rsid w:val="250848CE"/>
    <w:rsid w:val="250D55E9"/>
    <w:rsid w:val="251C1370"/>
    <w:rsid w:val="256B13EC"/>
    <w:rsid w:val="258B383C"/>
    <w:rsid w:val="25B272E5"/>
    <w:rsid w:val="25B52667"/>
    <w:rsid w:val="25EC3BAF"/>
    <w:rsid w:val="26C03072"/>
    <w:rsid w:val="26DA5E4E"/>
    <w:rsid w:val="26F469F8"/>
    <w:rsid w:val="27221F7E"/>
    <w:rsid w:val="27294DCB"/>
    <w:rsid w:val="273759F0"/>
    <w:rsid w:val="27541A0C"/>
    <w:rsid w:val="27A36AF4"/>
    <w:rsid w:val="27C022AD"/>
    <w:rsid w:val="27D330A9"/>
    <w:rsid w:val="27D80371"/>
    <w:rsid w:val="27DB07F1"/>
    <w:rsid w:val="28187A54"/>
    <w:rsid w:val="282F658A"/>
    <w:rsid w:val="2916166F"/>
    <w:rsid w:val="2919115F"/>
    <w:rsid w:val="294D3731"/>
    <w:rsid w:val="296F5223"/>
    <w:rsid w:val="299A402F"/>
    <w:rsid w:val="299A59D2"/>
    <w:rsid w:val="29D41C18"/>
    <w:rsid w:val="29FC2134"/>
    <w:rsid w:val="29FD43F1"/>
    <w:rsid w:val="2A2D71F7"/>
    <w:rsid w:val="2AF4310E"/>
    <w:rsid w:val="2AF96CC1"/>
    <w:rsid w:val="2B0C42A3"/>
    <w:rsid w:val="2B3631F4"/>
    <w:rsid w:val="2B6A5B38"/>
    <w:rsid w:val="2B7037B2"/>
    <w:rsid w:val="2B7938DE"/>
    <w:rsid w:val="2B9339F3"/>
    <w:rsid w:val="2C046D45"/>
    <w:rsid w:val="2C3C763E"/>
    <w:rsid w:val="2C41519A"/>
    <w:rsid w:val="2D3B6DC2"/>
    <w:rsid w:val="2D564730"/>
    <w:rsid w:val="2D8D11DF"/>
    <w:rsid w:val="2DD82143"/>
    <w:rsid w:val="2E003569"/>
    <w:rsid w:val="2E78370C"/>
    <w:rsid w:val="2EBC6626"/>
    <w:rsid w:val="2EE06A9A"/>
    <w:rsid w:val="2EF923FB"/>
    <w:rsid w:val="2F5B347D"/>
    <w:rsid w:val="2F7C5FA4"/>
    <w:rsid w:val="2FDA2B8D"/>
    <w:rsid w:val="3025488D"/>
    <w:rsid w:val="30797214"/>
    <w:rsid w:val="308B29B1"/>
    <w:rsid w:val="30DD0CC4"/>
    <w:rsid w:val="30E00000"/>
    <w:rsid w:val="314B2DEF"/>
    <w:rsid w:val="314D1AC3"/>
    <w:rsid w:val="31520047"/>
    <w:rsid w:val="317E24A7"/>
    <w:rsid w:val="319B23D0"/>
    <w:rsid w:val="31B349CA"/>
    <w:rsid w:val="32051488"/>
    <w:rsid w:val="328E1E33"/>
    <w:rsid w:val="329675A4"/>
    <w:rsid w:val="32A724AC"/>
    <w:rsid w:val="32B20603"/>
    <w:rsid w:val="32D16607"/>
    <w:rsid w:val="33245EFE"/>
    <w:rsid w:val="33A8793A"/>
    <w:rsid w:val="33C87A09"/>
    <w:rsid w:val="33CC2F1F"/>
    <w:rsid w:val="33D910EF"/>
    <w:rsid w:val="343764E2"/>
    <w:rsid w:val="34496D9C"/>
    <w:rsid w:val="345117AD"/>
    <w:rsid w:val="34766305"/>
    <w:rsid w:val="35BA34DA"/>
    <w:rsid w:val="35D0405D"/>
    <w:rsid w:val="35DF02EF"/>
    <w:rsid w:val="35FF0CF3"/>
    <w:rsid w:val="364D41F6"/>
    <w:rsid w:val="366A124C"/>
    <w:rsid w:val="36BA2868"/>
    <w:rsid w:val="36D64516"/>
    <w:rsid w:val="36F05BAE"/>
    <w:rsid w:val="372F0F16"/>
    <w:rsid w:val="37320A8B"/>
    <w:rsid w:val="37401ED8"/>
    <w:rsid w:val="3765585A"/>
    <w:rsid w:val="37710A72"/>
    <w:rsid w:val="37B1595C"/>
    <w:rsid w:val="37E61084"/>
    <w:rsid w:val="37F8706F"/>
    <w:rsid w:val="380421F3"/>
    <w:rsid w:val="381A58BA"/>
    <w:rsid w:val="38223E1B"/>
    <w:rsid w:val="384C64EB"/>
    <w:rsid w:val="385950D4"/>
    <w:rsid w:val="38CC58A6"/>
    <w:rsid w:val="38F60B75"/>
    <w:rsid w:val="39294E48"/>
    <w:rsid w:val="393F251C"/>
    <w:rsid w:val="39620852"/>
    <w:rsid w:val="396C2553"/>
    <w:rsid w:val="39D77B70"/>
    <w:rsid w:val="39E34C87"/>
    <w:rsid w:val="39E362DD"/>
    <w:rsid w:val="3A087445"/>
    <w:rsid w:val="3A825DDE"/>
    <w:rsid w:val="3AD722D6"/>
    <w:rsid w:val="3AEC76B8"/>
    <w:rsid w:val="3B6756EF"/>
    <w:rsid w:val="3BA15C6B"/>
    <w:rsid w:val="3BED280B"/>
    <w:rsid w:val="3C0356A1"/>
    <w:rsid w:val="3C0417FB"/>
    <w:rsid w:val="3C47643C"/>
    <w:rsid w:val="3C60501B"/>
    <w:rsid w:val="3CA31014"/>
    <w:rsid w:val="3CF17FD1"/>
    <w:rsid w:val="3CFE20A0"/>
    <w:rsid w:val="3D1177C7"/>
    <w:rsid w:val="3D22228B"/>
    <w:rsid w:val="3D3C7627"/>
    <w:rsid w:val="3D4F2F4A"/>
    <w:rsid w:val="3D4F78C8"/>
    <w:rsid w:val="3D6A6963"/>
    <w:rsid w:val="3D9E74C8"/>
    <w:rsid w:val="3DB039E8"/>
    <w:rsid w:val="3DD50DAE"/>
    <w:rsid w:val="3DDA58D9"/>
    <w:rsid w:val="3DF06AF7"/>
    <w:rsid w:val="3E0C3B6F"/>
    <w:rsid w:val="3E4660FB"/>
    <w:rsid w:val="3E8C68AA"/>
    <w:rsid w:val="3EA51073"/>
    <w:rsid w:val="3ED53549"/>
    <w:rsid w:val="3F21134E"/>
    <w:rsid w:val="3F836EDA"/>
    <w:rsid w:val="3F9D7F9C"/>
    <w:rsid w:val="3FA41FF6"/>
    <w:rsid w:val="3FAF1F4E"/>
    <w:rsid w:val="3FBB6F9C"/>
    <w:rsid w:val="40233A61"/>
    <w:rsid w:val="404E344B"/>
    <w:rsid w:val="4069269E"/>
    <w:rsid w:val="4091157D"/>
    <w:rsid w:val="41516DB4"/>
    <w:rsid w:val="419E1DAA"/>
    <w:rsid w:val="421A7D7F"/>
    <w:rsid w:val="428761B5"/>
    <w:rsid w:val="42985759"/>
    <w:rsid w:val="430622FC"/>
    <w:rsid w:val="430F7403"/>
    <w:rsid w:val="43641F1E"/>
    <w:rsid w:val="436F0772"/>
    <w:rsid w:val="43D30430"/>
    <w:rsid w:val="44BD7696"/>
    <w:rsid w:val="44BF09B5"/>
    <w:rsid w:val="44E5468B"/>
    <w:rsid w:val="450A19D1"/>
    <w:rsid w:val="450F36EA"/>
    <w:rsid w:val="45300531"/>
    <w:rsid w:val="4554098B"/>
    <w:rsid w:val="455475CD"/>
    <w:rsid w:val="45790441"/>
    <w:rsid w:val="4594234D"/>
    <w:rsid w:val="47171988"/>
    <w:rsid w:val="472B3950"/>
    <w:rsid w:val="47A41215"/>
    <w:rsid w:val="47AA1CA0"/>
    <w:rsid w:val="47CD4DE2"/>
    <w:rsid w:val="47CF53B3"/>
    <w:rsid w:val="47D01EDF"/>
    <w:rsid w:val="47E82B57"/>
    <w:rsid w:val="47F46E9A"/>
    <w:rsid w:val="481A7F92"/>
    <w:rsid w:val="48DB1EBA"/>
    <w:rsid w:val="491004AC"/>
    <w:rsid w:val="49705E68"/>
    <w:rsid w:val="4A190B67"/>
    <w:rsid w:val="4AB952D9"/>
    <w:rsid w:val="4AF67549"/>
    <w:rsid w:val="4B074D0A"/>
    <w:rsid w:val="4B752FDA"/>
    <w:rsid w:val="4C030171"/>
    <w:rsid w:val="4C4D52CA"/>
    <w:rsid w:val="4C894797"/>
    <w:rsid w:val="4CEC2563"/>
    <w:rsid w:val="4CF36A7B"/>
    <w:rsid w:val="4CF51418"/>
    <w:rsid w:val="4D06246C"/>
    <w:rsid w:val="4D21521F"/>
    <w:rsid w:val="4D3B4EC4"/>
    <w:rsid w:val="4D6D5452"/>
    <w:rsid w:val="4D810EFD"/>
    <w:rsid w:val="4D812CAB"/>
    <w:rsid w:val="4D9E1E27"/>
    <w:rsid w:val="4DA335EF"/>
    <w:rsid w:val="4DA90454"/>
    <w:rsid w:val="4DD613B6"/>
    <w:rsid w:val="4E2D705C"/>
    <w:rsid w:val="4E5C7274"/>
    <w:rsid w:val="4E983EB6"/>
    <w:rsid w:val="4EAA7FE0"/>
    <w:rsid w:val="4F602D94"/>
    <w:rsid w:val="4F714FA1"/>
    <w:rsid w:val="4F894099"/>
    <w:rsid w:val="4F960564"/>
    <w:rsid w:val="4FB54E8E"/>
    <w:rsid w:val="50380D80"/>
    <w:rsid w:val="505B00AD"/>
    <w:rsid w:val="506378EF"/>
    <w:rsid w:val="507E1724"/>
    <w:rsid w:val="50A6165E"/>
    <w:rsid w:val="50E30778"/>
    <w:rsid w:val="50EF74D3"/>
    <w:rsid w:val="5139664E"/>
    <w:rsid w:val="5156444F"/>
    <w:rsid w:val="51600E2A"/>
    <w:rsid w:val="51A159FE"/>
    <w:rsid w:val="51BD2EC4"/>
    <w:rsid w:val="5203159A"/>
    <w:rsid w:val="521A58B8"/>
    <w:rsid w:val="52326C6A"/>
    <w:rsid w:val="528D3EA0"/>
    <w:rsid w:val="52BD6DD9"/>
    <w:rsid w:val="530E4BBE"/>
    <w:rsid w:val="53402FC3"/>
    <w:rsid w:val="53990737"/>
    <w:rsid w:val="53C252BC"/>
    <w:rsid w:val="53FD5056"/>
    <w:rsid w:val="541C1C0A"/>
    <w:rsid w:val="54262873"/>
    <w:rsid w:val="55190B9F"/>
    <w:rsid w:val="558C5851"/>
    <w:rsid w:val="558F6181"/>
    <w:rsid w:val="55AF2380"/>
    <w:rsid w:val="5635099B"/>
    <w:rsid w:val="566A46EF"/>
    <w:rsid w:val="56AF79C4"/>
    <w:rsid w:val="56C33047"/>
    <w:rsid w:val="56C360E3"/>
    <w:rsid w:val="56C97471"/>
    <w:rsid w:val="570F409A"/>
    <w:rsid w:val="5737262D"/>
    <w:rsid w:val="578C7028"/>
    <w:rsid w:val="579E08FE"/>
    <w:rsid w:val="58382B00"/>
    <w:rsid w:val="589B3CED"/>
    <w:rsid w:val="597317D1"/>
    <w:rsid w:val="597731B4"/>
    <w:rsid w:val="598D671F"/>
    <w:rsid w:val="59E55B6A"/>
    <w:rsid w:val="59E94913"/>
    <w:rsid w:val="59F3611C"/>
    <w:rsid w:val="5A727671"/>
    <w:rsid w:val="5A8A5E5E"/>
    <w:rsid w:val="5AF9037D"/>
    <w:rsid w:val="5B1277B8"/>
    <w:rsid w:val="5B4B48F9"/>
    <w:rsid w:val="5B5828EC"/>
    <w:rsid w:val="5BE865EB"/>
    <w:rsid w:val="5C0E2FD3"/>
    <w:rsid w:val="5C205D85"/>
    <w:rsid w:val="5C2C00C5"/>
    <w:rsid w:val="5C3F1B9C"/>
    <w:rsid w:val="5CA34AF9"/>
    <w:rsid w:val="5CC03FBE"/>
    <w:rsid w:val="5CCB1749"/>
    <w:rsid w:val="5CF1324F"/>
    <w:rsid w:val="5D1D6D54"/>
    <w:rsid w:val="5D542564"/>
    <w:rsid w:val="5D5F468B"/>
    <w:rsid w:val="5DD2630F"/>
    <w:rsid w:val="5E744166"/>
    <w:rsid w:val="5EA902B4"/>
    <w:rsid w:val="5EB629D1"/>
    <w:rsid w:val="5EFC04E3"/>
    <w:rsid w:val="5F4C5CE4"/>
    <w:rsid w:val="5F726336"/>
    <w:rsid w:val="60234096"/>
    <w:rsid w:val="60412D60"/>
    <w:rsid w:val="608670E2"/>
    <w:rsid w:val="60C74A21"/>
    <w:rsid w:val="61F2727D"/>
    <w:rsid w:val="62141EE8"/>
    <w:rsid w:val="62327ECA"/>
    <w:rsid w:val="628E51EE"/>
    <w:rsid w:val="62AF7E63"/>
    <w:rsid w:val="62C13CDC"/>
    <w:rsid w:val="62CA25A7"/>
    <w:rsid w:val="6361115D"/>
    <w:rsid w:val="642A5BE2"/>
    <w:rsid w:val="645110EF"/>
    <w:rsid w:val="645A771F"/>
    <w:rsid w:val="64C34AE8"/>
    <w:rsid w:val="64FD6C64"/>
    <w:rsid w:val="65302F12"/>
    <w:rsid w:val="654672B3"/>
    <w:rsid w:val="655979B3"/>
    <w:rsid w:val="662D5327"/>
    <w:rsid w:val="664B26DE"/>
    <w:rsid w:val="665E5472"/>
    <w:rsid w:val="666F3B91"/>
    <w:rsid w:val="66B617C0"/>
    <w:rsid w:val="66E128D8"/>
    <w:rsid w:val="67097A34"/>
    <w:rsid w:val="67CD0024"/>
    <w:rsid w:val="67D6544C"/>
    <w:rsid w:val="68235EE5"/>
    <w:rsid w:val="68B473FF"/>
    <w:rsid w:val="695B21AB"/>
    <w:rsid w:val="695C12C6"/>
    <w:rsid w:val="69AF24F6"/>
    <w:rsid w:val="6A892DFE"/>
    <w:rsid w:val="6ADD7165"/>
    <w:rsid w:val="6AE352CC"/>
    <w:rsid w:val="6AE63A26"/>
    <w:rsid w:val="6AFA607C"/>
    <w:rsid w:val="6B010AEC"/>
    <w:rsid w:val="6B695F28"/>
    <w:rsid w:val="6C2660DD"/>
    <w:rsid w:val="6C377D3B"/>
    <w:rsid w:val="6C523D39"/>
    <w:rsid w:val="6C5A7F9E"/>
    <w:rsid w:val="6C83566E"/>
    <w:rsid w:val="6CAE2F39"/>
    <w:rsid w:val="6CB85FE9"/>
    <w:rsid w:val="6CBC7568"/>
    <w:rsid w:val="6CEF1588"/>
    <w:rsid w:val="6CF21078"/>
    <w:rsid w:val="6CFC7A9E"/>
    <w:rsid w:val="6D374CDD"/>
    <w:rsid w:val="6DA560EA"/>
    <w:rsid w:val="6DC960AE"/>
    <w:rsid w:val="6DCF5FA6"/>
    <w:rsid w:val="6E433F5B"/>
    <w:rsid w:val="6E4A5C33"/>
    <w:rsid w:val="6E9D3265"/>
    <w:rsid w:val="6EA87C9B"/>
    <w:rsid w:val="6EAC5256"/>
    <w:rsid w:val="6EC0117B"/>
    <w:rsid w:val="6F287EEA"/>
    <w:rsid w:val="6F5E33C9"/>
    <w:rsid w:val="6FD607DD"/>
    <w:rsid w:val="6FF246FD"/>
    <w:rsid w:val="70184027"/>
    <w:rsid w:val="702459EC"/>
    <w:rsid w:val="70486052"/>
    <w:rsid w:val="705067E1"/>
    <w:rsid w:val="70A64653"/>
    <w:rsid w:val="711173E8"/>
    <w:rsid w:val="71245A38"/>
    <w:rsid w:val="71692C8E"/>
    <w:rsid w:val="719E357C"/>
    <w:rsid w:val="71BF47BE"/>
    <w:rsid w:val="72030D2C"/>
    <w:rsid w:val="726E09B6"/>
    <w:rsid w:val="72895FDA"/>
    <w:rsid w:val="72A359D6"/>
    <w:rsid w:val="73123E4F"/>
    <w:rsid w:val="732217E1"/>
    <w:rsid w:val="73401A64"/>
    <w:rsid w:val="73574EA4"/>
    <w:rsid w:val="73A250DB"/>
    <w:rsid w:val="73C4187C"/>
    <w:rsid w:val="74292673"/>
    <w:rsid w:val="744F39DE"/>
    <w:rsid w:val="74624195"/>
    <w:rsid w:val="74A71E6F"/>
    <w:rsid w:val="74B530B7"/>
    <w:rsid w:val="74FB2A94"/>
    <w:rsid w:val="750F77FD"/>
    <w:rsid w:val="75375405"/>
    <w:rsid w:val="753C2362"/>
    <w:rsid w:val="75492FB1"/>
    <w:rsid w:val="75512308"/>
    <w:rsid w:val="75A37CC5"/>
    <w:rsid w:val="75F220E9"/>
    <w:rsid w:val="76053BCA"/>
    <w:rsid w:val="763F1C89"/>
    <w:rsid w:val="76CD4696"/>
    <w:rsid w:val="76E462F3"/>
    <w:rsid w:val="77366D24"/>
    <w:rsid w:val="77420E4E"/>
    <w:rsid w:val="774D3FF7"/>
    <w:rsid w:val="775A7F45"/>
    <w:rsid w:val="7778770E"/>
    <w:rsid w:val="77EF6453"/>
    <w:rsid w:val="77FC2DAB"/>
    <w:rsid w:val="78707CA6"/>
    <w:rsid w:val="787E7C64"/>
    <w:rsid w:val="78BD69DE"/>
    <w:rsid w:val="799E680F"/>
    <w:rsid w:val="7AAC0272"/>
    <w:rsid w:val="7B1D660B"/>
    <w:rsid w:val="7B2C0C07"/>
    <w:rsid w:val="7B2E209D"/>
    <w:rsid w:val="7B4C493D"/>
    <w:rsid w:val="7BD36D61"/>
    <w:rsid w:val="7BFF10BB"/>
    <w:rsid w:val="7CA279A2"/>
    <w:rsid w:val="7CDF3F7D"/>
    <w:rsid w:val="7CEC7892"/>
    <w:rsid w:val="7D204AD7"/>
    <w:rsid w:val="7D2E7EAA"/>
    <w:rsid w:val="7D5947FB"/>
    <w:rsid w:val="7D6513F2"/>
    <w:rsid w:val="7D6C452F"/>
    <w:rsid w:val="7D7358BD"/>
    <w:rsid w:val="7D777A3E"/>
    <w:rsid w:val="7D990F20"/>
    <w:rsid w:val="7DCE6802"/>
    <w:rsid w:val="7E4967CC"/>
    <w:rsid w:val="7E4A6747"/>
    <w:rsid w:val="7ED71E7C"/>
    <w:rsid w:val="7EDE320A"/>
    <w:rsid w:val="7EF221E3"/>
    <w:rsid w:val="7F10538E"/>
    <w:rsid w:val="7F427C3D"/>
    <w:rsid w:val="7FA676E6"/>
    <w:rsid w:val="7FBD428A"/>
    <w:rsid w:val="7FD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94D6E"/>
  <w15:docId w15:val="{2DF52B26-7E19-4FCA-BA70-FE675709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qFormat="1"/>
    <w:lsdException w:name="header" w:qFormat="1"/>
    <w:lsdException w:name="footer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360" w:lineRule="auto"/>
      <w:ind w:firstLineChars="200" w:firstLine="723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Lines="100" w:before="100" w:afterLines="100" w:after="100"/>
      <w:ind w:left="76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spacing w:beforeLines="100" w:before="100" w:afterLines="100" w:after="10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cs="Times New Roman" w:hint="eastAsia"/>
      <w:b/>
      <w:bCs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after="12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20">
    <w:name w:val="Body Text Indent 2"/>
    <w:basedOn w:val="a"/>
    <w:autoRedefine/>
    <w:qFormat/>
    <w:pPr>
      <w:spacing w:after="120" w:line="480" w:lineRule="auto"/>
      <w:ind w:leftChars="200" w:left="420"/>
    </w:pPr>
    <w:rPr>
      <w:rFonts w:ascii="Times New Roman" w:hAnsi="Times New Roman"/>
      <w:sz w:val="32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next w:val="a"/>
    <w:qFormat/>
    <w:pPr>
      <w:widowControl w:val="0"/>
      <w:spacing w:before="120" w:line="400" w:lineRule="auto"/>
      <w:jc w:val="distribute"/>
    </w:pPr>
    <w:rPr>
      <w:rFonts w:ascii="黑体" w:eastAsia="黑体"/>
      <w:sz w:val="24"/>
      <w:szCs w:val="24"/>
    </w:rPr>
  </w:style>
  <w:style w:type="paragraph" w:styleId="a8">
    <w:name w:val="footnote text"/>
    <w:basedOn w:val="a"/>
    <w:autoRedefine/>
    <w:qFormat/>
    <w:pPr>
      <w:snapToGrid w:val="0"/>
    </w:pPr>
    <w:rPr>
      <w:sz w:val="18"/>
    </w:r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paragraph" w:styleId="a9">
    <w:name w:val="Normal (Web)"/>
    <w:basedOn w:val="a"/>
    <w:qFormat/>
    <w:pPr>
      <w:spacing w:beforeAutospacing="1" w:afterAutospacing="1"/>
    </w:pPr>
    <w:rPr>
      <w:rFonts w:cs="Times New Roman"/>
    </w:rPr>
  </w:style>
  <w:style w:type="paragraph" w:styleId="aa">
    <w:name w:val="Title"/>
    <w:basedOn w:val="a"/>
    <w:qFormat/>
    <w:pPr>
      <w:jc w:val="center"/>
      <w:outlineLvl w:val="0"/>
    </w:pPr>
    <w:rPr>
      <w:rFonts w:ascii="Arial" w:eastAsia="黑体" w:hAnsi="Arial" w:cs="Arial"/>
      <w:b/>
      <w:bCs/>
      <w:sz w:val="36"/>
      <w:szCs w:val="32"/>
    </w:rPr>
  </w:style>
  <w:style w:type="paragraph" w:styleId="ab">
    <w:name w:val="Body Text First Indent"/>
    <w:basedOn w:val="a0"/>
    <w:autoRedefine/>
    <w:qFormat/>
    <w:pPr>
      <w:ind w:firstLineChars="100" w:firstLine="420"/>
    </w:pPr>
    <w:rPr>
      <w:rFonts w:ascii="Calibri" w:hAnsi="Calibri"/>
      <w:kern w:val="0"/>
      <w:sz w:val="20"/>
      <w:szCs w:val="20"/>
    </w:rPr>
  </w:style>
  <w:style w:type="table" w:styleId="ac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qFormat/>
    <w:rPr>
      <w:b/>
    </w:rPr>
  </w:style>
  <w:style w:type="character" w:styleId="ae">
    <w:name w:val="Hyperlink"/>
    <w:autoRedefine/>
    <w:qFormat/>
    <w:rPr>
      <w:color w:val="0000FF"/>
      <w:u w:val="single"/>
    </w:rPr>
  </w:style>
  <w:style w:type="character" w:styleId="af">
    <w:name w:val="footnote reference"/>
    <w:basedOn w:val="a1"/>
    <w:autoRedefine/>
    <w:qFormat/>
    <w:rPr>
      <w:vertAlign w:val="superscript"/>
    </w:rPr>
  </w:style>
  <w:style w:type="paragraph" w:customStyle="1" w:styleId="af0">
    <w:name w:val="段落"/>
    <w:basedOn w:val="a"/>
    <w:qFormat/>
    <w:pPr>
      <w:widowControl/>
      <w:adjustRightInd w:val="0"/>
      <w:spacing w:line="420" w:lineRule="exact"/>
      <w:ind w:firstLine="520"/>
      <w:textAlignment w:val="baseline"/>
    </w:pPr>
    <w:rPr>
      <w:spacing w:val="10"/>
      <w:szCs w:val="20"/>
    </w:rPr>
  </w:style>
  <w:style w:type="paragraph" w:customStyle="1" w:styleId="af1">
    <w:name w:val="一级标题"/>
    <w:basedOn w:val="a"/>
    <w:next w:val="a"/>
    <w:qFormat/>
    <w:pPr>
      <w:spacing w:beforeLines="100" w:before="100" w:afterLines="100" w:after="100"/>
      <w:ind w:firstLineChars="0" w:firstLine="0"/>
      <w:jc w:val="center"/>
      <w:outlineLvl w:val="0"/>
    </w:pPr>
    <w:rPr>
      <w:rFonts w:eastAsia="黑体"/>
      <w:b/>
      <w:bCs/>
      <w:sz w:val="32"/>
      <w:szCs w:val="32"/>
    </w:rPr>
  </w:style>
  <w:style w:type="paragraph" w:customStyle="1" w:styleId="af2">
    <w:name w:val="二级标题"/>
    <w:basedOn w:val="a"/>
    <w:qFormat/>
    <w:pPr>
      <w:spacing w:beforeLines="100" w:before="100" w:afterLines="100" w:after="100"/>
    </w:pPr>
    <w:rPr>
      <w:rFonts w:ascii="宋体" w:hAnsi="宋体" w:cs="宋体" w:hint="eastAsia"/>
      <w:b/>
      <w:bCs/>
      <w:sz w:val="28"/>
      <w:szCs w:val="28"/>
    </w:rPr>
  </w:style>
  <w:style w:type="paragraph" w:customStyle="1" w:styleId="af3">
    <w:name w:val="三级标题"/>
    <w:basedOn w:val="a"/>
    <w:link w:val="Char"/>
    <w:qFormat/>
    <w:pPr>
      <w:adjustRightInd w:val="0"/>
      <w:ind w:firstLine="602"/>
      <w:textAlignment w:val="baseline"/>
      <w:outlineLvl w:val="2"/>
    </w:pPr>
    <w:rPr>
      <w:rFonts w:ascii="宋体" w:hAnsi="宋体" w:cs="宋体" w:hint="eastAsia"/>
      <w:b/>
      <w:bCs/>
      <w:spacing w:val="10"/>
    </w:rPr>
  </w:style>
  <w:style w:type="paragraph" w:customStyle="1" w:styleId="af4">
    <w:name w:val="图/表注"/>
    <w:basedOn w:val="a"/>
    <w:qFormat/>
    <w:pPr>
      <w:widowControl/>
      <w:ind w:firstLine="480"/>
      <w:jc w:val="center"/>
    </w:pPr>
    <w:rPr>
      <w:rFonts w:ascii="Times New Roman" w:hAnsi="Times New Roman" w:cs="Times New Roman"/>
      <w:b/>
      <w:sz w:val="22"/>
    </w:rPr>
  </w:style>
  <w:style w:type="paragraph" w:customStyle="1" w:styleId="af5">
    <w:name w:val="主要参考文献"/>
    <w:basedOn w:val="a"/>
    <w:link w:val="Char0"/>
    <w:qFormat/>
    <w:pPr>
      <w:adjustRightInd w:val="0"/>
      <w:snapToGrid w:val="0"/>
      <w:spacing w:before="60" w:line="320" w:lineRule="exact"/>
      <w:ind w:leftChars="200" w:left="420" w:firstLineChars="0" w:firstLine="0"/>
    </w:pPr>
    <w:rPr>
      <w:rFonts w:ascii="Times New Roman" w:hAnsi="Times New Roman" w:cs="Times New Roman" w:hint="eastAsia"/>
      <w:sz w:val="21"/>
      <w:szCs w:val="21"/>
    </w:rPr>
  </w:style>
  <w:style w:type="character" w:customStyle="1" w:styleId="Char0">
    <w:name w:val="主要参考文献 Char"/>
    <w:link w:val="af5"/>
    <w:qFormat/>
    <w:rPr>
      <w:rFonts w:ascii="Times New Roman" w:eastAsia="宋体" w:hAnsi="Times New Roman" w:cs="Times New Roman" w:hint="eastAsia"/>
      <w:color w:val="auto"/>
      <w:sz w:val="21"/>
      <w:szCs w:val="21"/>
    </w:rPr>
  </w:style>
  <w:style w:type="paragraph" w:customStyle="1" w:styleId="2Heading">
    <w:name w:val="2Heading"/>
    <w:qFormat/>
    <w:pPr>
      <w:spacing w:after="200" w:line="276" w:lineRule="auto"/>
    </w:pPr>
    <w:rPr>
      <w:rFonts w:ascii="黑体" w:eastAsiaTheme="minorEastAsia" w:hAnsi="黑体" w:cstheme="minorBidi"/>
      <w:b/>
      <w:sz w:val="32"/>
      <w:szCs w:val="22"/>
      <w:lang w:eastAsia="en-US"/>
    </w:rPr>
  </w:style>
  <w:style w:type="character" w:customStyle="1" w:styleId="FootnoteReference">
    <w:name w:val="FootnoteReference"/>
    <w:qFormat/>
    <w:rPr>
      <w:sz w:val="18"/>
      <w:vertAlign w:val="superscript"/>
    </w:rPr>
  </w:style>
  <w:style w:type="paragraph" w:customStyle="1" w:styleId="FootnoteText">
    <w:name w:val="FootnoteText"/>
    <w:qFormat/>
    <w:pPr>
      <w:spacing w:after="200" w:line="276" w:lineRule="auto"/>
    </w:pPr>
    <w:rPr>
      <w:rFonts w:ascii="宋体" w:eastAsiaTheme="minorEastAsia" w:hAnsi="宋体" w:cstheme="minorBidi"/>
      <w:sz w:val="18"/>
      <w:szCs w:val="22"/>
      <w:lang w:eastAsia="en-US"/>
    </w:rPr>
  </w:style>
  <w:style w:type="character" w:customStyle="1" w:styleId="a4">
    <w:name w:val="正文文本 字符"/>
    <w:link w:val="a0"/>
    <w:qFormat/>
  </w:style>
  <w:style w:type="character" w:customStyle="1" w:styleId="10">
    <w:name w:val="标题 1 字符"/>
    <w:link w:val="1"/>
    <w:uiPriority w:val="1"/>
    <w:qFormat/>
    <w:rPr>
      <w:rFonts w:eastAsia="黑体"/>
      <w:b/>
      <w:bCs/>
      <w:sz w:val="32"/>
      <w:szCs w:val="32"/>
    </w:rPr>
  </w:style>
  <w:style w:type="paragraph" w:customStyle="1" w:styleId="af6">
    <w:name w:val="脚注"/>
    <w:basedOn w:val="a"/>
    <w:link w:val="Char1"/>
    <w:qFormat/>
    <w:pPr>
      <w:ind w:left="420"/>
    </w:pPr>
    <w:rPr>
      <w:vertAlign w:val="superscript"/>
    </w:rPr>
  </w:style>
  <w:style w:type="character" w:customStyle="1" w:styleId="Char1">
    <w:name w:val="脚注 Char"/>
    <w:link w:val="af6"/>
    <w:qFormat/>
    <w:rPr>
      <w:rFonts w:asciiTheme="minorHAnsi" w:eastAsia="宋体" w:hAnsiTheme="minorHAnsi"/>
      <w:vertAlign w:val="superscript"/>
    </w:rPr>
  </w:style>
  <w:style w:type="paragraph" w:customStyle="1" w:styleId="FirstParagraph">
    <w:name w:val="First Paragraph"/>
    <w:basedOn w:val="a0"/>
    <w:next w:val="a0"/>
    <w:qFormat/>
    <w:pPr>
      <w:spacing w:after="0"/>
      <w:ind w:firstLine="420"/>
    </w:pPr>
    <w:rPr>
      <w:rFonts w:ascii="宋体" w:hAnsi="宋体"/>
      <w:sz w:val="21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Char">
    <w:name w:val="三级标题 Char"/>
    <w:link w:val="af3"/>
    <w:qFormat/>
    <w:rPr>
      <w:rFonts w:ascii="宋体" w:hAnsi="宋体" w:cs="宋体" w:hint="eastAsia"/>
      <w:b/>
      <w:bCs/>
      <w:color w:val="auto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5.1.6 固定顶、内浮顶选型及附件</dc:title>
  <dc:subject>广州黄埔区油库设计第5章补充内容</dc:subject>
  <dc:creator>HUAWEI</dc:creator>
  <cp:lastModifiedBy>ing L</cp:lastModifiedBy>
  <cp:revision>9</cp:revision>
  <cp:lastPrinted>2026-07-26T09:17:00Z</cp:lastPrinted>
  <dcterms:created xsi:type="dcterms:W3CDTF">2022-06-14T08:37:00Z</dcterms:created>
  <dcterms:modified xsi:type="dcterms:W3CDTF">2026-07-29T16:37:00Z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AB0253D97936420E9FB277831BD97C3D_13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