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widowControl/>
        <w:spacing w:before="320" w:after="320" w:line="360" w:lineRule="auto"/>
        <w:jc w:val="center"/>
      </w:pPr>
      <w:r>
        <w:rPr>
          <w:rFonts w:ascii="Times New Roman" w:hAnsi="Times New Roman" w:eastAsia="黑体" w:cs="Times New Roman"/>
          <w:b/>
          <w:sz w:val="32"/>
        </w:rPr>
        <w:t>1 绪论</w:t>
      </w:r>
    </w:p>
    <w:p>
      <w:pPr>
        <w:keepNext/>
        <w:widowControl/>
        <w:spacing w:before="320" w:after="160" w:line="360" w:lineRule="auto"/>
        <w:ind w:firstLine="560"/>
        <w:jc w:val="left"/>
      </w:pPr>
      <w:r>
        <w:rPr>
          <w:rFonts w:ascii="Times New Roman" w:hAnsi="Times New Roman" w:eastAsia="黑体" w:cs="Times New Roman"/>
          <w:b/>
          <w:sz w:val="28"/>
        </w:rPr>
        <w:t>1.1 研究背景与意义</w:t>
      </w:r>
    </w:p>
    <w:p>
      <w:pPr>
        <w:keepNext/>
        <w:widowControl/>
        <w:spacing w:before="160" w:after="0" w:line="360" w:lineRule="auto"/>
        <w:ind w:firstLine="480"/>
        <w:jc w:val="left"/>
      </w:pPr>
      <w:r>
        <w:rPr>
          <w:rFonts w:ascii="Times New Roman" w:hAnsi="Times New Roman" w:eastAsia="宋体" w:cs="Times New Roman"/>
          <w:b/>
          <w:sz w:val="24"/>
        </w:rPr>
        <w:t>1.1.1 研究背景</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油库承担油品接收、储存、输转和发放等任务，是连接炼化生产、成品油运输与终端供应的重要储运设施。汽油、柴油等成品油具有易燃或可燃特性，其中汽油挥发性较强；油库运行又同时涉及大容量储存、连续输送、车辆装卸和多设备协同，因此其工艺设计不能只满足物流通畅，还必须统筹防火防爆、防雷防静电、泄漏控制、油气回收、事故状态处置和职业健康等要求。已有研究表明，安全设施配置、油气回收和自动化控制已成为现代成品油库设计的重要组成部分</w:t>
      </w:r>
      <w:r>
        <w:rPr>
          <w:rFonts w:ascii="Times New Roman" w:hAnsi="Times New Roman" w:eastAsia="宋体" w:cs="Times New Roman"/>
          <w:b w:val="0"/>
          <w:sz w:val="18"/>
          <w:vertAlign w:val="superscript"/>
        </w:rPr>
        <w:t>[1]</w:t>
      </w:r>
      <w:r>
        <w:rPr>
          <w:rFonts w:ascii="Times New Roman" w:hAnsi="Times New Roman" w:eastAsia="宋体" w:cs="Times New Roman"/>
          <w:b w:val="0"/>
          <w:sz w:val="18"/>
          <w:vertAlign w:val="superscript"/>
        </w:rPr>
        <w:t>[2]</w:t>
      </w:r>
      <w:r>
        <w:rPr>
          <w:rFonts w:ascii="Times New Roman" w:hAnsi="Times New Roman" w:eastAsia="宋体" w:cs="Times New Roman"/>
          <w:b w:val="0"/>
          <w:sz w:val="18"/>
          <w:vertAlign w:val="superscript"/>
        </w:rPr>
        <w:t>[8]</w:t>
      </w:r>
      <w:r>
        <w:rPr>
          <w:rFonts w:ascii="Times New Roman" w:hAnsi="Times New Roman" w:eastAsia="宋体" w:cs="Times New Roman"/>
          <w:b w:val="0"/>
          <w:sz w:val="24"/>
        </w:rPr>
        <w:t>。</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以广州黄埔油库为对象，储运介质包括92号汽油、95号汽油和0号柴油。按照开题报告确定的任务边界，油品采用管道进库，出库采用管输与公路运输相结合的方式，油库需完成油品接收、分类储存、中转和分发。多油品、多去向的作业组合要求工艺系统在防止混油、保证输送能力、便于切换检修和控制建设运行成本之间取得平衡；与此同时，汽油装车及储存过程中产生的油气还需要通过密闭作业和回收设施进行控制。因而，如何把库容与罐型、工艺流程、管径与泵、消防安全及HSE措施形成相互校核的整体，是本设计需要解决的核心问题。</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从行业发展看，国内油库设计已由以满足储存和收发功能为主，逐步转向标准化、密闭化、绿色化和自动化。相关研究分别从油库工艺优化、库内配管、自动控制和建设趋势等方面提出了设计方法</w:t>
      </w:r>
      <w:r>
        <w:rPr>
          <w:rFonts w:ascii="Times New Roman" w:hAnsi="Times New Roman" w:eastAsia="宋体" w:cs="Times New Roman"/>
          <w:b w:val="0"/>
          <w:sz w:val="18"/>
          <w:vertAlign w:val="superscript"/>
        </w:rPr>
        <w:t>[5]</w:t>
      </w:r>
      <w:r>
        <w:rPr>
          <w:rFonts w:ascii="Times New Roman" w:hAnsi="Times New Roman" w:eastAsia="宋体" w:cs="Times New Roman"/>
          <w:b w:val="0"/>
          <w:sz w:val="18"/>
          <w:vertAlign w:val="superscript"/>
        </w:rPr>
        <w:t>[8]</w:t>
      </w:r>
      <w:r>
        <w:rPr>
          <w:rFonts w:ascii="Times New Roman" w:hAnsi="Times New Roman" w:eastAsia="宋体" w:cs="Times New Roman"/>
          <w:b w:val="0"/>
          <w:sz w:val="18"/>
          <w:vertAlign w:val="superscript"/>
        </w:rPr>
        <w:t>[9]</w:t>
      </w:r>
      <w:r>
        <w:rPr>
          <w:rFonts w:ascii="Times New Roman" w:hAnsi="Times New Roman" w:eastAsia="宋体" w:cs="Times New Roman"/>
          <w:b w:val="0"/>
          <w:sz w:val="18"/>
          <w:vertAlign w:val="superscript"/>
        </w:rPr>
        <w:t>[14]</w:t>
      </w:r>
      <w:r>
        <w:rPr>
          <w:rFonts w:ascii="Times New Roman" w:hAnsi="Times New Roman" w:eastAsia="宋体" w:cs="Times New Roman"/>
          <w:b w:val="0"/>
          <w:sz w:val="24"/>
        </w:rPr>
        <w:t>；国外API、NFPA和ISO等标准则在储罐结构、易燃可燃液体安全和储罐呼吸系统等方面形成了较成熟的技术体系</w:t>
      </w:r>
      <w:r>
        <w:rPr>
          <w:rFonts w:ascii="Times New Roman" w:hAnsi="Times New Roman" w:eastAsia="宋体" w:cs="Times New Roman"/>
          <w:b w:val="0"/>
          <w:sz w:val="18"/>
          <w:vertAlign w:val="superscript"/>
        </w:rPr>
        <w:t>[15-17]</w:t>
      </w:r>
      <w:r>
        <w:rPr>
          <w:rFonts w:ascii="Times New Roman" w:hAnsi="Times New Roman" w:eastAsia="宋体" w:cs="Times New Roman"/>
          <w:b w:val="0"/>
          <w:sz w:val="24"/>
        </w:rPr>
        <w:t>。这些成果为工程设计提供了方法和边界，但具体项目仍需依据国内现行规范、设计任务书以及经核实的气象、地质和外部管网条件进行综合取舍，不能把其他油库的参数或国外条款直接套用于黄埔项目。</w:t>
      </w:r>
    </w:p>
    <w:p>
      <w:pPr>
        <w:keepNext/>
        <w:widowControl/>
        <w:spacing w:before="160" w:after="0" w:line="360" w:lineRule="auto"/>
        <w:ind w:firstLine="480"/>
        <w:jc w:val="left"/>
      </w:pPr>
      <w:r>
        <w:rPr>
          <w:rFonts w:ascii="Times New Roman" w:hAnsi="Times New Roman" w:eastAsia="宋体" w:cs="Times New Roman"/>
          <w:b/>
          <w:sz w:val="24"/>
        </w:rPr>
        <w:t>1.1.2 研究意义</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在理论与方法层面，本设计把油库总平面布置、储罐容量与型式、收发储工艺、管道水力、泵选型、安全消防和HSE管理置于同一设计链条中。通过明确设计输入、计算依据、设备选择和校核关系，可将流体力学、石油储运、安全工程与环境保护等知识转化为可追溯的工程设计过程。这种系统化工作有助于理解油库各子系统之间的约束关系，例如库容与周转需求、管径与流速及压力损失、泵性能与管路特性、罐区布置与防火间距之间并非相互独立，而需要在统一边界条件下协同确定。</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在现实应用层面，本设计面向92号汽油、95号汽油和0号柴油的实际储运任务，拟形成包括总平面布置、工艺流程、主要设备选型、安全消防和环保措施在内的完整方案。成果可为后续绘制总平面布置图、工艺流程图和主要工艺管道布置图提供计算与逻辑依据，也可为类似成品油库课程设计或方案比选提供规范化参考。需要说明的是，本设计属于毕业设计阶段的工程方案研究，其工程适用性仍应在具备完整任务书、勘察资料、设备样本和外部管网数据后进一步校核，不能替代施工图设计和法定审查。</w:t>
      </w:r>
    </w:p>
    <w:p>
      <w:pPr>
        <w:keepNext/>
        <w:widowControl/>
        <w:spacing w:before="320" w:after="160" w:line="360" w:lineRule="auto"/>
        <w:ind w:firstLine="560"/>
        <w:jc w:val="left"/>
      </w:pPr>
      <w:r>
        <w:rPr>
          <w:rFonts w:ascii="Times New Roman" w:hAnsi="Times New Roman" w:eastAsia="黑体" w:cs="Times New Roman"/>
          <w:b/>
          <w:sz w:val="28"/>
        </w:rPr>
        <w:t>1.2 研究问题与目标</w:t>
      </w:r>
    </w:p>
    <w:p>
      <w:pPr>
        <w:keepNext/>
        <w:widowControl/>
        <w:spacing w:before="160" w:after="0" w:line="360" w:lineRule="auto"/>
        <w:ind w:firstLine="480"/>
        <w:jc w:val="left"/>
      </w:pPr>
      <w:r>
        <w:rPr>
          <w:rFonts w:ascii="Times New Roman" w:hAnsi="Times New Roman" w:eastAsia="宋体" w:cs="Times New Roman"/>
          <w:b/>
          <w:sz w:val="24"/>
        </w:rPr>
        <w:t>1.2.1 研究问题</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现有文献对油库安全设施、油气回收、储罐结构、自动控制或局部配管等问题已有较多讨论</w:t>
      </w:r>
      <w:r>
        <w:rPr>
          <w:rFonts w:ascii="Times New Roman" w:hAnsi="Times New Roman" w:eastAsia="宋体" w:cs="Times New Roman"/>
          <w:b w:val="0"/>
          <w:sz w:val="18"/>
          <w:vertAlign w:val="superscript"/>
        </w:rPr>
        <w:t>[1-3]</w:t>
      </w:r>
      <w:r>
        <w:rPr>
          <w:rFonts w:ascii="Times New Roman" w:hAnsi="Times New Roman" w:eastAsia="宋体" w:cs="Times New Roman"/>
          <w:b w:val="0"/>
          <w:sz w:val="18"/>
          <w:vertAlign w:val="superscript"/>
        </w:rPr>
        <w:t>[8-9]</w:t>
      </w:r>
      <w:r>
        <w:rPr>
          <w:rFonts w:ascii="Times New Roman" w:hAnsi="Times New Roman" w:eastAsia="宋体" w:cs="Times New Roman"/>
          <w:b w:val="0"/>
          <w:sz w:val="24"/>
        </w:rPr>
        <w:t>，但单项研究通常以某一设备、某一工艺环节或某类规范条款为对象，难以直接回答一个具体油库从设计输入到图纸成果的全流程问题。对于广州黄埔油库，本设计需要在同一任务边界内回答以下问题：一是如何根据油品种类、收发方式和运行需求确定合理的功能分区、储罐配置及工艺流程；二是如何通过管径、水力损失和泵性能计算，使管输收油、管输发油和汽车装车等工况具备必要的输送能力；三是如何把防火堤、消防系统、防雷防静电、泄漏控制、油气回收和含油污水管理嵌入工艺方案；四是如何将上述分析转化为逻辑清晰、能够复核的设计说明和图纸。</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与偏重单项技术性能的研究相比，本设计更关注系统集成与工程约束：任何局部方案都必须同时满足介质相容性、作业功能、安全间距、操作维护和环境控制等条件。例如，较大的管径可以降低沿程损失，却会增加材料与存油量；共用管线能够减少管道数量，却会提高多油品切换和防混油管理的复杂度；提高自动化程度有助于监测与联锁，但其功能必须建立在明确的工艺因果关系和可靠仪表条件之上。因此，本设计不是追求单一指标最优，而是在规范约束下形成可实施、可校核的综合方案。</w:t>
      </w:r>
    </w:p>
    <w:p>
      <w:pPr>
        <w:keepNext/>
        <w:widowControl/>
        <w:spacing w:before="160" w:after="0" w:line="360" w:lineRule="auto"/>
        <w:ind w:firstLine="480"/>
        <w:jc w:val="left"/>
      </w:pPr>
      <w:r>
        <w:rPr>
          <w:rFonts w:ascii="Times New Roman" w:hAnsi="Times New Roman" w:eastAsia="宋体" w:cs="Times New Roman"/>
          <w:b/>
          <w:sz w:val="24"/>
        </w:rPr>
        <w:t>1.2.2 研究目标</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的总体目标是建立适用于广州黄埔油库任务条件的成品油储运工艺方案。具体目标包括：明确油库建设规模和主要设计参数，完成储油区、装卸区、辅助生产区及管理区的功能组织；构建92号汽油、95号汽油和0号柴油的管道收油、分类储存、管输发油、汽车装车、倒罐、清管及油气回收流程；完成库容、储罐、管径、压力损失和泵等主要工艺计算与选型校核；依据规范提出防火堤、消防给水与泡沫灭火、防雷防静电、防泄漏及HSE措施；最终形成设计说明书及相应工程图纸，使主要结论均能够追溯到任务条件、计算过程或规范依据。</w:t>
      </w:r>
    </w:p>
    <w:p>
      <w:pPr>
        <w:keepNext/>
        <w:widowControl/>
        <w:spacing w:before="320" w:after="160" w:line="360" w:lineRule="auto"/>
        <w:ind w:firstLine="560"/>
        <w:jc w:val="left"/>
      </w:pPr>
      <w:r>
        <w:rPr>
          <w:rFonts w:ascii="Times New Roman" w:hAnsi="Times New Roman" w:eastAsia="黑体" w:cs="Times New Roman"/>
          <w:b/>
          <w:sz w:val="28"/>
        </w:rPr>
        <w:t>1.3 国内外研究现状</w:t>
      </w:r>
    </w:p>
    <w:p>
      <w:pPr>
        <w:keepNext/>
        <w:widowControl/>
        <w:spacing w:before="160" w:after="0" w:line="360" w:lineRule="auto"/>
        <w:ind w:firstLine="480"/>
        <w:jc w:val="left"/>
      </w:pPr>
      <w:r>
        <w:rPr>
          <w:rFonts w:ascii="Times New Roman" w:hAnsi="Times New Roman" w:eastAsia="宋体" w:cs="Times New Roman"/>
          <w:b/>
          <w:sz w:val="24"/>
        </w:rPr>
        <w:t>1.3.1 国内研究现状</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国内成品油库研究与工程实践已覆盖总体规划、储罐选型、库内配管、装卸工艺、油气回收、安全设施和自动控制等方面。张付卿从国内成品油库建设发展角度讨论了管道配套、储运系统及装车工艺的协同</w:t>
      </w:r>
      <w:r>
        <w:rPr>
          <w:rFonts w:ascii="Times New Roman" w:hAnsi="Times New Roman" w:eastAsia="宋体" w:cs="Times New Roman"/>
          <w:b w:val="0"/>
          <w:sz w:val="18"/>
          <w:vertAlign w:val="superscript"/>
        </w:rPr>
        <w:t>[14]</w:t>
      </w:r>
      <w:r>
        <w:rPr>
          <w:rFonts w:ascii="Times New Roman" w:hAnsi="Times New Roman" w:eastAsia="宋体" w:cs="Times New Roman"/>
          <w:b w:val="0"/>
          <w:sz w:val="24"/>
        </w:rPr>
        <w:t>；马会军等对油库工艺设计与优化进行了总结</w:t>
      </w:r>
      <w:r>
        <w:rPr>
          <w:rFonts w:ascii="Times New Roman" w:hAnsi="Times New Roman" w:eastAsia="宋体" w:cs="Times New Roman"/>
          <w:b w:val="0"/>
          <w:sz w:val="18"/>
          <w:vertAlign w:val="superscript"/>
        </w:rPr>
        <w:t>[5]</w:t>
      </w:r>
      <w:r>
        <w:rPr>
          <w:rFonts w:ascii="Times New Roman" w:hAnsi="Times New Roman" w:eastAsia="宋体" w:cs="Times New Roman"/>
          <w:b w:val="0"/>
          <w:sz w:val="24"/>
        </w:rPr>
        <w:t>；陈敏平结合工程经验提出了库内管道布置和沉降补偿等设计注意事项</w:t>
      </w:r>
      <w:r>
        <w:rPr>
          <w:rFonts w:ascii="Times New Roman" w:hAnsi="Times New Roman" w:eastAsia="宋体" w:cs="Times New Roman"/>
          <w:b w:val="0"/>
          <w:sz w:val="18"/>
          <w:vertAlign w:val="superscript"/>
        </w:rPr>
        <w:t>[9]</w:t>
      </w:r>
      <w:r>
        <w:rPr>
          <w:rFonts w:ascii="Times New Roman" w:hAnsi="Times New Roman" w:eastAsia="宋体" w:cs="Times New Roman"/>
          <w:b w:val="0"/>
          <w:sz w:val="24"/>
        </w:rPr>
        <w:t>。在安全与环保方面，相关研究分别讨论了安全设施配置和油气回收系统优化</w:t>
      </w:r>
      <w:r>
        <w:rPr>
          <w:rFonts w:ascii="Times New Roman" w:hAnsi="Times New Roman" w:eastAsia="宋体" w:cs="Times New Roman"/>
          <w:b w:val="0"/>
          <w:sz w:val="18"/>
          <w:vertAlign w:val="superscript"/>
        </w:rPr>
        <w:t>[1-2]</w:t>
      </w:r>
      <w:r>
        <w:rPr>
          <w:rFonts w:ascii="Times New Roman" w:hAnsi="Times New Roman" w:eastAsia="宋体" w:cs="Times New Roman"/>
          <w:b w:val="0"/>
          <w:sz w:val="24"/>
        </w:rPr>
        <w:t>；在运行控制方面，自动计量、定量装车、液位监测、静电接地和联锁控制等技术已成为研究重点</w:t>
      </w:r>
      <w:r>
        <w:rPr>
          <w:rFonts w:ascii="Times New Roman" w:hAnsi="Times New Roman" w:eastAsia="宋体" w:cs="Times New Roman"/>
          <w:b w:val="0"/>
          <w:sz w:val="18"/>
          <w:vertAlign w:val="superscript"/>
        </w:rPr>
        <w:t>[8]</w:t>
      </w:r>
      <w:r>
        <w:rPr>
          <w:rFonts w:ascii="Times New Roman" w:hAnsi="Times New Roman" w:eastAsia="宋体" w:cs="Times New Roman"/>
          <w:b w:val="0"/>
          <w:sz w:val="24"/>
        </w:rPr>
        <w:t>。总体而言，国内研究的优势在于与国家规范和本土工程条件结合紧密，能够为常规成品油库设计提供较完整的技术支撑。</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内研究仍存在一定的分散性：部分文献聚焦单一设备或局部工艺，项目级的全过程设计论证相对不足；新技术讨论有时强调数字化或智能化功能，却未充分说明其与工艺流程、测点条件及联锁逻辑之间的对应关系；不同类型、不同规模油库的经验也不能脱离适用条件直接移植。陆育等对国内外油库设计标准进行比较，说明不同标准在危险分类、储罐间距和防火堤等方面存在体系差异</w:t>
      </w:r>
      <w:r>
        <w:rPr>
          <w:rFonts w:ascii="Times New Roman" w:hAnsi="Times New Roman" w:eastAsia="宋体" w:cs="Times New Roman"/>
          <w:b w:val="0"/>
          <w:sz w:val="18"/>
          <w:vertAlign w:val="superscript"/>
        </w:rPr>
        <w:t>[10]</w:t>
      </w:r>
      <w:r>
        <w:rPr>
          <w:rFonts w:ascii="Times New Roman" w:hAnsi="Times New Roman" w:eastAsia="宋体" w:cs="Times New Roman"/>
          <w:b w:val="0"/>
          <w:sz w:val="24"/>
        </w:rPr>
        <w:t>。这意味着设计者既要理解条文差异，也要明确项目所在地法规和强制性规范的优先顺序。</w:t>
      </w:r>
    </w:p>
    <w:p>
      <w:pPr>
        <w:keepNext/>
        <w:widowControl/>
        <w:spacing w:before="160" w:after="0" w:line="360" w:lineRule="auto"/>
        <w:ind w:firstLine="480"/>
        <w:jc w:val="left"/>
      </w:pPr>
      <w:r>
        <w:rPr>
          <w:rFonts w:ascii="Times New Roman" w:hAnsi="Times New Roman" w:eastAsia="宋体" w:cs="Times New Roman"/>
          <w:b/>
          <w:sz w:val="24"/>
        </w:rPr>
        <w:t>1.3.2 国外研究现状</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国外油库与储罐工程较早形成以标准体系和全过程风险管理为基础的设计方法。API 650主要用于焊接储罐结构设计，NFPA 30围绕易燃、可燃液体的分类、储存和防火要求建立安全框架，ISO 28300则涉及常压及低压储罐的呼吸系统设计</w:t>
      </w:r>
      <w:r>
        <w:rPr>
          <w:rFonts w:ascii="Times New Roman" w:hAnsi="Times New Roman" w:eastAsia="宋体" w:cs="Times New Roman"/>
          <w:b w:val="0"/>
          <w:sz w:val="18"/>
          <w:vertAlign w:val="superscript"/>
        </w:rPr>
        <w:t>[15-17]</w:t>
      </w:r>
      <w:r>
        <w:rPr>
          <w:rFonts w:ascii="Times New Roman" w:hAnsi="Times New Roman" w:eastAsia="宋体" w:cs="Times New Roman"/>
          <w:b w:val="0"/>
          <w:sz w:val="24"/>
        </w:rPr>
        <w:t>。在此基础上，国外工程实践广泛采用过程控制、远程监测、完整性管理和定量风险分析等方法，对储罐、管线、装卸设施和消防系统进行全生命周期管理。其特点是强调设计假设、性能边界和验证过程，重视把风险识别结果反馈到设备布置、报警联锁和应急措施中。</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外标准和技术经验对本设计具有比较和借鉴价值，但其危险分类方法、设计基础、计量单位、审批体系及气候条件与国内并不完全相同。广州黄埔油库应首先执行国内适用的现行法律法规、强制性规范和经批准的设计基础；国外资料可用于理解性能化思路、完善风险识别和进行方案比选，而不能替代国内规范。只有在设计输入一致、适用范围明确并完成条文协调后，国外经验才可转化为具体设计措施。</w:t>
      </w:r>
    </w:p>
    <w:p>
      <w:pPr>
        <w:keepNext/>
        <w:widowControl/>
        <w:spacing w:before="160" w:after="0" w:line="360" w:lineRule="auto"/>
        <w:ind w:firstLine="480"/>
        <w:jc w:val="left"/>
      </w:pPr>
      <w:r>
        <w:rPr>
          <w:rFonts w:ascii="Times New Roman" w:hAnsi="Times New Roman" w:eastAsia="宋体" w:cs="Times New Roman"/>
          <w:b/>
          <w:sz w:val="24"/>
        </w:rPr>
        <w:t>1.3.3 现有研究评价与本文切入点</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综合现有研究可以看出，油库单项工艺和设备技术已较成熟，安全、环保与自动化要求也日趋系统化。当前值得深入的问题并不是简单增加某种先进设备，而是如何在具体项目中把规范要求、业务工况、设备能力和风险控制形成闭合设计链。对于本课题，现有资料的主要空白体现在：缺少针对既定三种成品油、管道进库及管输与公路联合出库条件的完整工艺整合；缺少库容、管径、泵和装卸能力之间的连续校核；缺少将油气回收、消防、防泄漏和HSE措施与具体作业流程逐项对应的设计表达。</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基于此，本文以任务书和国内规范为基本约束，不把数字孪生、人工智能等尚缺少项目数据支撑的技术作为既定成果，而从可核实的工艺关系和工程计算入手，建立“设计输入—方案确定—工艺计算—设备校核—安全环保—图纸表达”的技术路线。切入点在于面向黄埔项目的多油品、多发运方式和密闭储运要求进行系统化设计，并对每一项主要选择说明依据及适用边界。</w:t>
      </w:r>
    </w:p>
    <w:p>
      <w:pPr>
        <w:keepNext/>
        <w:widowControl/>
        <w:spacing w:before="320" w:after="160" w:line="360" w:lineRule="auto"/>
        <w:ind w:firstLine="560"/>
        <w:jc w:val="left"/>
      </w:pPr>
      <w:r>
        <w:rPr>
          <w:rFonts w:ascii="Times New Roman" w:hAnsi="Times New Roman" w:eastAsia="黑体" w:cs="Times New Roman"/>
          <w:b/>
          <w:sz w:val="28"/>
        </w:rPr>
        <w:t>1.4 研究内容与方法</w:t>
      </w:r>
    </w:p>
    <w:p>
      <w:pPr>
        <w:keepNext/>
        <w:widowControl/>
        <w:spacing w:before="160" w:after="0" w:line="360" w:lineRule="auto"/>
        <w:ind w:firstLine="480"/>
        <w:jc w:val="left"/>
      </w:pPr>
      <w:r>
        <w:rPr>
          <w:rFonts w:ascii="Times New Roman" w:hAnsi="Times New Roman" w:eastAsia="宋体" w:cs="Times New Roman"/>
          <w:b/>
          <w:sz w:val="24"/>
        </w:rPr>
        <w:t>1.4.1 研究思路与主要内容</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首先整理油品种类、收发方式、建设规模、外部接口和自然条件等设计输入，明确规范体系和计算边界；其次进行油库分级分区、总平面功能组织和储罐配置，确定各油品的接收、储存、倒罐、发放、清管及油气回收流程；随后完成库容、管径、流速、压力损失、泵流量与扬程等计算，并对主要设备和作业能力进行校核；在此基础上配置防火堤、消防给水与泡沫灭火、防雷防静电、泄漏监测、事故污油及含油污水收集等设施；最后形成总平面布置图、工艺流程图和主要工艺管道布置图，使图纸与计算说明相互对应。</w:t>
      </w:r>
    </w:p>
    <w:p>
      <w:pPr>
        <w:keepNext/>
        <w:widowControl/>
        <w:spacing w:before="160" w:after="0" w:line="360" w:lineRule="auto"/>
        <w:ind w:firstLine="480"/>
        <w:jc w:val="left"/>
      </w:pPr>
      <w:r>
        <w:rPr>
          <w:rFonts w:ascii="Times New Roman" w:hAnsi="Times New Roman" w:eastAsia="宋体" w:cs="Times New Roman"/>
          <w:b/>
          <w:sz w:val="24"/>
        </w:rPr>
        <w:t>1.4.2 研究方法</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主要采用四类方法。第一，文献与规范分析法，用于识别油库设计的强制要求、常用工艺及技术边界，并比较国内外标准的适用差异。第二，工程计算法，依据任务参数开展库容、储罐、管道水力和泵性能等计算，保留公式、取值来源和校核过程。第三，方案比较法，对管线组织、收发油路径、储罐配置和安全环保措施进行多方案比较，从功能、安全、操作维护和经济合理性等方面确定方案。第四，系统集成与图纸表达法，将各专业条件落实到工艺流程和总平面中，并通过CAD图纸检查设备、管线与功能分区之间的逻辑一致性。本课题不涉及现场试验和统计调查，因此不使用未经实施的实验数据或问卷结论。</w:t>
      </w:r>
    </w:p>
    <w:p>
      <w:pPr>
        <w:keepNext/>
        <w:widowControl/>
        <w:spacing w:before="320" w:after="160" w:line="360" w:lineRule="auto"/>
        <w:ind w:firstLine="560"/>
        <w:jc w:val="left"/>
      </w:pPr>
      <w:r>
        <w:rPr>
          <w:rFonts w:ascii="Times New Roman" w:hAnsi="Times New Roman" w:eastAsia="黑体" w:cs="Times New Roman"/>
          <w:b/>
          <w:sz w:val="28"/>
        </w:rPr>
        <w:t>1.5 可能的创新与局限性</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文的特点主要体现在工程整合而非原创理论突破。其一，围绕92号汽油、95号汽油和0号柴油，统一考虑管道收油、管输发油与汽车装车，减少以单一作业方式为前提造成的流程割裂。其二，把油气回收、防混油、静电接地、溢油与泄漏控制、消防及事故污水管理同收发储流程对应，使安全环保措施具有明确的工艺落点。其三，通过库容、管径、压力损失、泵和装卸能力的连续校核，提高方案的可追溯性。上述内容属于针对具体设计任务的综合应用创新，其有效性需由后续计算和图纸成果验证。</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也存在明确边界。现阶段资料主要来自开题报告和设计任务要求，尚未获得完整的场地勘察、逐时气象、外部管网压力波动、设备厂家性能曲线及建设投资数据，因此不能给出施工级基础处理、瞬态水力、设备采购和经济评价结论；定量风险评价、火灾后果模拟、数字孪生和控制系统软件实现也不在本次主要工作范围内。后续若补充上述资料，可进一步开展水击分析、动态工况模拟、消防后果校核、全生命周期成本比较和控制联锁验证。</w:t>
      </w:r>
    </w:p>
    <w:p>
      <w:pPr>
        <w:keepNext/>
        <w:widowControl/>
        <w:spacing w:before="320" w:after="160" w:line="360" w:lineRule="auto"/>
        <w:ind w:firstLine="560"/>
        <w:jc w:val="left"/>
      </w:pPr>
      <w:r>
        <w:rPr>
          <w:rFonts w:ascii="Times New Roman" w:hAnsi="Times New Roman" w:eastAsia="黑体" w:cs="Times New Roman"/>
          <w:b/>
          <w:sz w:val="28"/>
        </w:rPr>
        <w:t>1.6 论文结构安排</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全文共分六章。第1章为绪论，说明研究背景与意义，提出研究问题和目标，综述国内外研究现状，明确本文的切入点、研究内容、方法及局限性。第2章为设计概况及总体设计，整理建设规模、油品性质和收发方式，完成油库容量、分级分区及总平面布置。第3章为油库工艺流程设计，分别论述收油、储存、发油、倒罐、清管和油气回收等流程及运行要求。第4章为工艺计算及设备选型，完成储罐、管径、水力损失、泵及输送能力等计算与校核。第5章为安全与消防设计及HSE管理，提出防火堤、泡沫灭火、消防给水、防雷防静电、职业健康、安全管理和环境保护措施。第6章为结论与建议，总结主要设计成果、适用条件和后续需要完善的工作。</w:t>
      </w:r>
    </w:p>
    <w:sectPr>
      <w:footerReference r:id="rId19" w:type="default"/>
      <w:headerReference w:type="default" r:id="rId26"/>
      <w:pgSz w:w="11906" w:h="16838"/>
      <w:pgMar w:top="1701" w:right="1134" w:bottom="1417" w:left="1417" w:header="907" w:footer="85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5"/>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5"/>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5"/>
      <w:rPr>
        <w:lang w:val="en-US"/>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5"/>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5"/>
      <w:rPr>
        <w:lang w:val="en-US"/>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5"/>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5"/>
      <w:rPr>
        <w:lang w:val="en-US"/>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5"/>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5"/>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5"/>
    </w:pPr>
    <w:r>
      <w:rPr>
        <w:sz w:val="18"/>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5"/>
      <w:rPr>
        <w:lang w:val="en-US"/>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5"/>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5"/>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5"/>
      <w:jc w:val="center"/>
      <w:rPr>
        <w:lang w:val="en-US"/>
      </w:rPr>
    </w:pPr>
    <w:r>
      <w:rPr>
        <w:rFonts w:ascii="Times New Roman" w:hAnsi="Times New Roman" w:eastAsia="宋体" w:cs="Times New Roman"/>
        <w:b w:val="0"/>
        <w:sz w:val="18"/>
      </w:rPr>
      <w:t xml:space="preserve">- </w:t>
    </w:r>
    <w:r>
      <w:fldChar w:fldCharType="begin"/>
      <w:instrText xml:space="preserve"> PAGE </w:instrText>
      <w:fldChar w:fldCharType="separate"/>
      <w:t>1</w:t>
      <w:fldChar w:fldCharType="end"/>
    </w:r>
    <w:r>
      <w:rPr>
        <w:rFonts w:ascii="Times New Roman" w:hAnsi="Times New Roman" w:eastAsia="宋体" w:cs="Times New Roman"/>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EB0D6B6">
      <w:pPr>
        <w:pStyle w:val="8"/>
        <w:rPr>
          <w:rFonts w:hint="default" w:eastAsiaTheme="minorEastAsia"/>
          <w:lang w:val="en-US" w:eastAsia="zh-CN"/>
        </w:rPr>
      </w:pPr>
      <w:r>
        <w:rPr>
          <w:rStyle w:val="17"/>
        </w:rPr>
        <w:footnoteRef/>
      </w:r>
      <w:r>
        <w:t xml:space="preserve"> </w:t>
      </w:r>
      <w:r>
        <w:rPr>
          <w:rFonts w:hint="eastAsia"/>
          <w:lang w:val="en-US" w:eastAsia="zh-CN"/>
        </w:rPr>
        <w:t>主要责任者．文献题名</w:t>
      </w:r>
      <w:r>
        <w:rPr>
          <w:rFonts w:hint="eastAsia" w:ascii="微软雅黑" w:hAnsi="微软雅黑" w:eastAsia="微软雅黑" w:cs="微软雅黑"/>
          <w:lang w:val="en-US" w:eastAsia="zh-CN"/>
        </w:rPr>
        <w:t>［</w:t>
      </w:r>
      <w:r>
        <w:rPr>
          <w:rFonts w:hint="eastAsia"/>
          <w:lang w:val="en-US" w:eastAsia="zh-CN"/>
        </w:rPr>
        <w:t>文献类型及载体类型标识</w:t>
      </w:r>
      <w:r>
        <w:rPr>
          <w:rFonts w:hint="eastAsia" w:ascii="微软雅黑" w:hAnsi="微软雅黑" w:eastAsia="微软雅黑" w:cs="微软雅黑"/>
          <w:lang w:val="en-US" w:eastAsia="zh-CN"/>
        </w:rPr>
        <w:t>］．</w:t>
      </w:r>
      <w:r>
        <w:rPr>
          <w:rFonts w:hint="eastAsia"/>
        </w:rPr>
        <w:t>出版</w:t>
      </w:r>
      <w:r>
        <w:rPr>
          <w:rFonts w:hint="eastAsia"/>
          <w:lang w:val="en-US" w:eastAsia="zh-CN"/>
        </w:rPr>
        <w:t>地：出版者，出版年，起止页码．</w:t>
      </w:r>
    </w:p>
  </w:footnote>
  <w:footnote w:id="1">
    <w:p w14:paraId="68AE34D7">
      <w:pPr>
        <w:pStyle w:val="8"/>
        <w:rPr>
          <w:rFonts w:hint="default" w:asciiTheme="minorEastAsia" w:hAnsiTheme="minorEastAsia" w:eastAsiaTheme="minorEastAsia" w:cstheme="minorEastAsia"/>
          <w:lang w:val="en-US"/>
        </w:rPr>
      </w:pPr>
      <w:r>
        <w:rPr>
          <w:rStyle w:val="17"/>
        </w:rPr>
        <w:footnoteRef/>
      </w:r>
      <w:r>
        <w:t xml:space="preserve"> </w:t>
      </w:r>
      <w:r>
        <w:rPr>
          <w:rFonts w:hint="eastAsia"/>
          <w:lang w:val="en-US" w:eastAsia="zh-CN"/>
        </w:rPr>
        <w:t>主要责任者</w:t>
      </w:r>
      <w:r>
        <w:rPr>
          <w:rFonts w:hint="eastAsia"/>
          <w:lang w:eastAsia="zh-CN"/>
        </w:rPr>
        <w:t>．</w:t>
      </w:r>
      <w:r>
        <w:rPr>
          <w:rFonts w:hint="eastAsia"/>
          <w:lang w:val="en-US" w:eastAsia="zh-CN"/>
        </w:rPr>
        <w:t>文献题名</w:t>
      </w:r>
      <w:r>
        <w:rPr>
          <w:rFonts w:hint="eastAsia" w:ascii="微软雅黑" w:hAnsi="微软雅黑" w:eastAsia="微软雅黑" w:cs="微软雅黑"/>
          <w:sz w:val="18"/>
          <w:szCs w:val="18"/>
          <w:lang w:val="en-US" w:eastAsia="zh-CN"/>
        </w:rPr>
        <w:t>［</w:t>
      </w:r>
      <w:r>
        <w:rPr>
          <w:rFonts w:hint="eastAsia"/>
          <w:lang w:val="en-US" w:eastAsia="zh-CN"/>
        </w:rPr>
        <w:t>文献类型及载体类型标识</w:t>
      </w:r>
      <w:r>
        <w:rPr>
          <w:rFonts w:hint="eastAsia" w:ascii="微软雅黑" w:hAnsi="微软雅黑" w:eastAsia="微软雅黑" w:cs="微软雅黑"/>
          <w:sz w:val="18"/>
          <w:szCs w:val="18"/>
          <w:lang w:val="en-US" w:eastAsia="zh-CN"/>
        </w:rPr>
        <w:t>］．</w:t>
      </w:r>
      <w:r>
        <w:rPr>
          <w:rFonts w:hint="eastAsia" w:asciiTheme="minorEastAsia" w:hAnsiTheme="minorEastAsia" w:eastAsiaTheme="minorEastAsia" w:cstheme="minorEastAsia"/>
          <w:sz w:val="18"/>
          <w:szCs w:val="18"/>
          <w:lang w:val="en-US" w:eastAsia="zh-CN"/>
        </w:rPr>
        <w:t>刊名，年，卷（期）：起止页码．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6"/>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p w14:paraId="2DF545AB">
    <w:pPr>
      <w:pStyle w:val="6"/>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Bdr>
        <w:bottom w:val="single" w:sz="6" w:space="1" w:color="000000"/>
      </w:pBdr>
    </w:pPr>
    <w:r>
      <w:rPr>
        <w:rFonts w:ascii="Times New Roman" w:hAnsi="Times New Roman" w:eastAsia="宋体" w:cs="Times New Roman"/>
        <w:b w:val="0"/>
        <w:sz w:val="18"/>
      </w:rPr>
      <w:t>泉州职业技术大学2026届本科毕业设计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95C42"/>
    <w:multiLevelType w:val="singleLevel"/>
    <w:tmpl w:val="AB695C42"/>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DE7B1F"/>
    <w:rsid w:val="0691317E"/>
    <w:rsid w:val="077010BF"/>
    <w:rsid w:val="07B215FB"/>
    <w:rsid w:val="08294AF7"/>
    <w:rsid w:val="103941EB"/>
    <w:rsid w:val="11FA6155"/>
    <w:rsid w:val="14D81D91"/>
    <w:rsid w:val="183F23B9"/>
    <w:rsid w:val="1B097409"/>
    <w:rsid w:val="1BB82AAA"/>
    <w:rsid w:val="1CAA7AEA"/>
    <w:rsid w:val="1F144C76"/>
    <w:rsid w:val="21932171"/>
    <w:rsid w:val="294D3731"/>
    <w:rsid w:val="2AF4310E"/>
    <w:rsid w:val="2B6A5B38"/>
    <w:rsid w:val="35BA34DA"/>
    <w:rsid w:val="35D0405D"/>
    <w:rsid w:val="36BA2868"/>
    <w:rsid w:val="37F8706F"/>
    <w:rsid w:val="39E362DD"/>
    <w:rsid w:val="3BED280B"/>
    <w:rsid w:val="450A19D1"/>
    <w:rsid w:val="4594234D"/>
    <w:rsid w:val="4E2D705C"/>
    <w:rsid w:val="50380D80"/>
    <w:rsid w:val="578C7028"/>
    <w:rsid w:val="5C3F1B9C"/>
    <w:rsid w:val="5EB629D1"/>
    <w:rsid w:val="645110EF"/>
    <w:rsid w:val="68B473FF"/>
    <w:rsid w:val="6AE352CC"/>
    <w:rsid w:val="6AE63A26"/>
    <w:rsid w:val="6E433F5B"/>
    <w:rsid w:val="72A359D6"/>
    <w:rsid w:val="76E462F3"/>
    <w:rsid w:val="7CDF3F7D"/>
    <w:rsid w:val="7D990F20"/>
    <w:rsid w:val="7E4A6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ind w:left="760"/>
      <w:outlineLvl w:val="0"/>
    </w:pPr>
    <w:rPr>
      <w:b/>
      <w:bCs/>
      <w:sz w:val="32"/>
      <w:szCs w:val="32"/>
    </w:rPr>
  </w:style>
  <w:style w:type="character" w:default="1" w:styleId="15">
    <w:name w:val="Default Paragraph Font"/>
    <w:autoRedefine/>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8">
    <w:name w:val="footnote text"/>
    <w:basedOn w:val="1"/>
    <w:autoRedefine/>
    <w:qFormat/>
    <w:uiPriority w:val="0"/>
    <w:pPr>
      <w:snapToGrid w:val="0"/>
    </w:pPr>
    <w:rPr>
      <w:sz w:val="18"/>
    </w:rPr>
  </w:style>
  <w:style w:type="paragraph" w:styleId="9">
    <w:name w:val="toc 2"/>
    <w:basedOn w:val="1"/>
    <w:next w:val="1"/>
    <w:autoRedefine/>
    <w:qFormat/>
    <w:uiPriority w:val="0"/>
    <w:pPr>
      <w:ind w:left="420" w:leftChars="200"/>
    </w:pPr>
  </w:style>
  <w:style w:type="paragraph" w:styleId="10">
    <w:name w:val="Normal (Web)"/>
    <w:basedOn w:val="1"/>
    <w:qFormat/>
    <w:uiPriority w:val="0"/>
    <w:pPr>
      <w:spacing w:beforeAutospacing="1" w:afterAutospacing="1"/>
    </w:pPr>
    <w:rPr>
      <w:rFonts w:cs="Times New Roman"/>
      <w:sz w:val="24"/>
      <w:lang w:val="en-US" w:bidi="ar-SA"/>
    </w:rPr>
  </w:style>
  <w:style w:type="paragraph" w:styleId="11">
    <w:name w:val="Title"/>
    <w:basedOn w:val="1"/>
    <w:qFormat/>
    <w:uiPriority w:val="0"/>
    <w:pPr>
      <w:jc w:val="center"/>
      <w:outlineLvl w:val="0"/>
    </w:pPr>
    <w:rPr>
      <w:rFonts w:ascii="Arial" w:hAnsi="Arial" w:eastAsia="黑体" w:cs="Arial"/>
      <w:b/>
      <w:bCs/>
      <w:sz w:val="36"/>
      <w:szCs w:val="32"/>
    </w:rPr>
  </w:style>
  <w:style w:type="paragraph" w:styleId="12">
    <w:name w:val="Body Text First Indent"/>
    <w:basedOn w:val="3"/>
    <w:autoRedefine/>
    <w:qFormat/>
    <w:uiPriority w:val="0"/>
    <w:pPr>
      <w:ind w:firstLine="420" w:firstLineChars="100"/>
    </w:pPr>
    <w:rPr>
      <w:rFonts w:ascii="Calibri" w:hAnsi="Calibri" w:eastAsia="宋体"/>
      <w:kern w:val="0"/>
      <w:sz w:val="20"/>
      <w:szCs w:val="20"/>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autoRedefine/>
    <w:qFormat/>
    <w:uiPriority w:val="0"/>
    <w:rPr>
      <w:color w:val="0000FF"/>
      <w:u w:val="single"/>
    </w:rPr>
  </w:style>
  <w:style w:type="character" w:styleId="17">
    <w:name w:val="footnote reference"/>
    <w:basedOn w:val="15"/>
    <w:autoRedefine/>
    <w:qFormat/>
    <w:uiPriority w:val="0"/>
    <w:rPr>
      <w:vertAlign w:val="superscript"/>
    </w:rPr>
  </w:style>
  <w:style w:type="paragraph" w:customStyle="1" w:styleId="18">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19">
    <w:name w:val="标题2"/>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 w:type="paragraph" w:customStyle="1" w:styleId="20">
    <w:name w:val="正文首行缩进 21"/>
    <w:basedOn w:val="1"/>
    <w:autoRedefine/>
    <w:qFormat/>
    <w:uiPriority w:val="0"/>
    <w:pPr>
      <w:spacing w:after="120"/>
      <w:ind w:left="420" w:leftChars="200" w:firstLine="420" w:firstLineChars="200"/>
    </w:pPr>
  </w:style>
  <w:style w:type="paragraph" w:customStyle="1" w:styleId="21">
    <w:name w:val="标题1"/>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26"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3676</Words>
  <Characters>4471</Characters>
  <Lines>0</Lines>
  <Paragraphs>0</Paragraphs>
  <TotalTime>8</TotalTime>
  <ScaleCrop>false</ScaleCrop>
  <LinksUpToDate>false</LinksUpToDate>
  <CharactersWithSpaces>4870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大威天龙</cp:lastModifiedBy>
  <cp:lastPrinted>2023-05-06T08:23:00Z</cp:lastPrinted>
  <dcterms:modified xsi:type="dcterms:W3CDTF">2026-07-10T04:44:30Z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BE45C7571A2F44F280C5C8050C5363BA</vt:lpwstr>
  </property>
  <property fmtid="{D5CDD505-2E9C-101B-9397-08002B2CF9AE}" pid="4" name="KSOTemplateDocerSaveRecord">
    <vt:lpwstr>eyJoZGlkIjoiZGY4OTA4ZmY4OWU3MjBmNjI1Mzk5MDFhYTc4ZjdlOTAiLCJ1c2VySWQiOiIyMTQwNTE1NDMifQ==</vt:lpwstr>
  </property>
</Properties>
</file>