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B8A9C">
      <w:pPr>
        <w:ind w:left="0" w:leftChars="0" w:firstLine="0" w:firstLineChars="0"/>
        <w:jc w:val="both"/>
        <w:rPr>
          <w:rFonts w:ascii="宋体" w:hAnsi="宋体"/>
          <w:b/>
          <w:color w:val="auto"/>
          <w:sz w:val="36"/>
          <w:highlight w:val="none"/>
        </w:rPr>
      </w:pPr>
      <w:r>
        <w:rPr>
          <w:rFonts w:hint="eastAsia" w:ascii="宋体" w:hAnsi="宋体"/>
          <w:b/>
          <w:color w:val="auto"/>
          <w:sz w:val="36"/>
          <w:highlight w:val="none"/>
        </w:rPr>
        <w:drawing>
          <wp:inline distT="0" distB="0" distL="114300" distR="114300">
            <wp:extent cx="5568950" cy="1222375"/>
            <wp:effectExtent l="0" t="0" r="6350" b="952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22"/>
                    <a:stretch>
                      <a:fillRect/>
                    </a:stretch>
                  </pic:blipFill>
                  <pic:spPr>
                    <a:xfrm>
                      <a:off x="0" y="0"/>
                      <a:ext cx="5568950" cy="1222375"/>
                    </a:xfrm>
                    <a:prstGeom prst="rect">
                      <a:avLst/>
                    </a:prstGeom>
                  </pic:spPr>
                </pic:pic>
              </a:graphicData>
            </a:graphic>
          </wp:inline>
        </w:drawing>
      </w:r>
    </w:p>
    <w:p w14:paraId="661FA1C7">
      <w:pPr>
        <w:snapToGrid w:val="0"/>
        <w:jc w:val="center"/>
        <w:rPr>
          <w:rFonts w:hint="eastAsia" w:ascii="黑体" w:hAnsi="微软雅黑" w:eastAsia="黑体"/>
          <w:color w:val="FF0000"/>
          <w:sz w:val="96"/>
          <w:szCs w:val="28"/>
          <w:highlight w:val="none"/>
          <w:lang w:val="en-US" w:eastAsia="zh-CN"/>
        </w:rPr>
      </w:pPr>
      <w:r>
        <w:rPr>
          <w:rFonts w:hint="eastAsia" w:ascii="黑体" w:hAnsi="微软雅黑" w:eastAsia="黑体"/>
          <w:color w:val="auto"/>
          <w:sz w:val="96"/>
          <w:szCs w:val="28"/>
          <w:highlight w:val="none"/>
        </w:rPr>
        <w:t>毕业设计</w:t>
      </w:r>
    </w:p>
    <w:p w14:paraId="046EB17A">
      <w:pPr>
        <w:snapToGrid w:val="0"/>
        <w:ind w:left="0" w:leftChars="0" w:firstLine="0" w:firstLineChars="0"/>
        <w:jc w:val="both"/>
        <w:rPr>
          <w:rFonts w:hint="eastAsia" w:asciiTheme="minorEastAsia" w:hAnsiTheme="minorEastAsia" w:eastAsiaTheme="minorEastAsia" w:cstheme="minorEastAsia"/>
          <w:b/>
          <w:bCs/>
          <w:color w:val="auto"/>
          <w:sz w:val="44"/>
          <w:szCs w:val="44"/>
          <w:highlight w:val="none"/>
        </w:rPr>
      </w:pPr>
    </w:p>
    <w:p w14:paraId="2137555B">
      <w:pPr>
        <w:snapToGrid w:val="0"/>
        <w:jc w:val="center"/>
        <w:rPr>
          <w:rFonts w:asciiTheme="minorEastAsia" w:hAnsiTheme="minorEastAsia" w:eastAsiaTheme="minorEastAsia" w:cstheme="minorEastAsia"/>
          <w:b/>
          <w:bCs/>
          <w:color w:val="auto"/>
          <w:sz w:val="44"/>
          <w:szCs w:val="44"/>
          <w:highlight w:val="none"/>
        </w:rPr>
      </w:pPr>
      <w:r>
        <w:rPr>
          <w:rFonts w:hint="eastAsia" w:asciiTheme="minorEastAsia" w:hAnsiTheme="minorEastAsia" w:eastAsiaTheme="minorEastAsia" w:cstheme="minorEastAsia"/>
          <w:b/>
          <w:bCs/>
          <w:color w:val="auto"/>
          <w:sz w:val="44"/>
          <w:szCs w:val="44"/>
          <w:highlight w:val="none"/>
        </w:rPr>
        <w:t>中文名称</w:t>
      </w:r>
    </w:p>
    <w:p w14:paraId="13555C4A">
      <w:pPr>
        <w:snapToGrid w:val="0"/>
        <w:jc w:val="center"/>
        <w:rPr>
          <w:rFonts w:hint="default" w:asciiTheme="minorEastAsia" w:hAnsiTheme="minorEastAsia" w:eastAsiaTheme="minorEastAsia" w:cstheme="minorEastAsia"/>
          <w:b/>
          <w:bCs/>
          <w:color w:val="auto"/>
          <w:sz w:val="44"/>
          <w:szCs w:val="44"/>
          <w:highlight w:val="none"/>
          <w:lang w:val="en-US" w:eastAsia="zh-CN"/>
        </w:rPr>
      </w:pPr>
      <w:r>
        <w:rPr>
          <w:rFonts w:hint="eastAsia" w:asciiTheme="minorEastAsia" w:hAnsiTheme="minorEastAsia" w:eastAsiaTheme="minorEastAsia" w:cstheme="minorEastAsia"/>
          <w:b/>
          <w:bCs/>
          <w:color w:val="auto"/>
          <w:sz w:val="44"/>
          <w:szCs w:val="44"/>
          <w:highlight w:val="none"/>
          <w:lang w:val="en-US" w:eastAsia="zh-CN"/>
        </w:rPr>
        <w:t>广州黄埔油库工艺设计</w:t>
      </w:r>
    </w:p>
    <w:p w14:paraId="50BE0A28">
      <w:pPr>
        <w:spacing w:line="240" w:lineRule="auto"/>
        <w:jc w:val="center"/>
        <w:rPr>
          <w:rFonts w:hint="default" w:ascii="Times New Roman" w:hAnsi="Times New Roman" w:eastAsia="微软雅黑" w:cs="Times New Roman"/>
          <w:color w:val="auto"/>
          <w:sz w:val="28"/>
          <w:szCs w:val="28"/>
          <w:highlight w:val="none"/>
          <w:lang w:val="en-US"/>
        </w:rPr>
      </w:pPr>
      <w:r>
        <w:rPr>
          <w:rFonts w:hint="default" w:ascii="Times New Roman" w:hAnsi="Times New Roman" w:eastAsia="微软雅黑" w:cs="Times New Roman"/>
          <w:color w:val="auto"/>
          <w:sz w:val="28"/>
          <w:szCs w:val="28"/>
          <w:highlight w:val="none"/>
          <w:lang w:val="en-US"/>
        </w:rPr>
        <w:t>English Title</w:t>
      </w:r>
    </w:p>
    <w:p w14:paraId="7CE52BE8">
      <w:pPr>
        <w:spacing w:line="240" w:lineRule="auto"/>
        <w:jc w:val="center"/>
        <w:rPr>
          <w:rFonts w:hint="default" w:ascii="Times New Roman" w:hAnsi="Times New Roman" w:eastAsia="微软雅黑" w:cs="Times New Roman"/>
          <w:color w:val="auto"/>
          <w:sz w:val="28"/>
          <w:szCs w:val="28"/>
          <w:highlight w:val="none"/>
          <w:lang w:val="en-US" w:eastAsia="zh-CN"/>
        </w:rPr>
      </w:pPr>
      <w:r>
        <w:rPr>
          <w:rFonts w:hint="eastAsia" w:ascii="Times New Roman" w:hAnsi="Times New Roman" w:eastAsia="微软雅黑" w:cs="Times New Roman"/>
          <w:color w:val="auto"/>
          <w:sz w:val="28"/>
          <w:szCs w:val="28"/>
          <w:highlight w:val="none"/>
          <w:lang w:val="en-US" w:eastAsia="zh-CN"/>
        </w:rPr>
        <w:t>Process Design of Huangpu Oil Depot in Guangzhou</w:t>
      </w:r>
    </w:p>
    <w:p w14:paraId="16C6C148">
      <w:pPr>
        <w:snapToGrid w:val="0"/>
        <w:spacing w:before="156" w:beforeLines="50" w:line="270" w:lineRule="atLeast"/>
        <w:ind w:firstLine="1920" w:firstLineChars="600"/>
        <w:textAlignment w:val="baseline"/>
        <w:rPr>
          <w:rFonts w:ascii="黑体" w:hAnsi="微软雅黑" w:eastAsia="黑体"/>
          <w:color w:val="auto"/>
          <w:sz w:val="32"/>
          <w:highlight w:val="none"/>
          <w:lang w:val="en-US"/>
        </w:rPr>
      </w:pPr>
    </w:p>
    <w:p w14:paraId="0FCD9E66">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院</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能源学院     </w:t>
      </w:r>
      <w:r>
        <w:rPr>
          <w:rFonts w:hint="eastAsia" w:ascii="楷体" w:hAnsi="楷体" w:eastAsia="楷体" w:cs="楷体"/>
          <w:color w:val="auto"/>
          <w:sz w:val="32"/>
          <w:szCs w:val="32"/>
          <w:highlight w:val="none"/>
          <w:u w:val="single"/>
          <w:lang w:val="en-US"/>
        </w:rPr>
        <w:t xml:space="preserve"> </w:t>
      </w:r>
    </w:p>
    <w:p w14:paraId="6059F1CE">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业</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油气储运工程</w:t>
      </w:r>
      <w:r>
        <w:rPr>
          <w:rFonts w:hint="eastAsia" w:ascii="楷体" w:hAnsi="楷体" w:eastAsia="楷体" w:cs="楷体"/>
          <w:color w:val="auto"/>
          <w:sz w:val="32"/>
          <w:szCs w:val="32"/>
          <w:highlight w:val="none"/>
          <w:u w:val="single"/>
          <w:lang w:val="en-US"/>
        </w:rPr>
        <w:t xml:space="preserve">     </w:t>
      </w:r>
    </w:p>
    <w:p w14:paraId="4C16B0E9">
      <w:pPr>
        <w:snapToGrid w:val="0"/>
        <w:spacing w:before="156" w:beforeLines="50" w:line="270" w:lineRule="atLeast"/>
        <w:ind w:firstLine="1920" w:firstLineChars="600"/>
        <w:textAlignment w:val="baseline"/>
        <w:rPr>
          <w:rFonts w:hint="default" w:ascii="楷体" w:hAnsi="楷体" w:eastAsia="楷体" w:cs="楷体"/>
          <w:color w:val="auto"/>
          <w:sz w:val="32"/>
          <w:szCs w:val="32"/>
          <w:highlight w:val="none"/>
          <w:lang w:val="en-US" w:eastAsia="zh-CN"/>
        </w:rPr>
      </w:pP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级</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eastAsia="zh-CN"/>
        </w:rPr>
        <w:t xml:space="preserve">        2023级       </w:t>
      </w:r>
    </w:p>
    <w:p w14:paraId="1FF8D082">
      <w:pPr>
        <w:snapToGrid w:val="0"/>
        <w:spacing w:before="156" w:beforeLines="50" w:line="270" w:lineRule="atLeast"/>
        <w:ind w:firstLine="1920" w:firstLineChars="600"/>
        <w:textAlignment w:val="baseline"/>
        <w:rPr>
          <w:rFonts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姓</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名</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裴慧琳</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1C15FD27">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学</w:t>
      </w:r>
      <w:r>
        <w:rPr>
          <w:rFonts w:hint="eastAsia" w:ascii="楷体" w:hAnsi="楷体" w:eastAsia="楷体" w:cs="楷体"/>
          <w:color w:val="auto"/>
          <w:sz w:val="32"/>
          <w:szCs w:val="32"/>
          <w:highlight w:val="none"/>
          <w:lang w:val="en-US"/>
        </w:rPr>
        <w:t xml:space="preserve">    </w:t>
      </w:r>
      <w:r>
        <w:rPr>
          <w:rFonts w:hint="eastAsia" w:ascii="楷体" w:hAnsi="楷体" w:eastAsia="楷体" w:cs="楷体"/>
          <w:color w:val="auto"/>
          <w:sz w:val="32"/>
          <w:szCs w:val="32"/>
          <w:highlight w:val="none"/>
        </w:rPr>
        <w:t>号</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23104242   </w:t>
      </w:r>
      <w:r>
        <w:rPr>
          <w:rFonts w:hint="eastAsia" w:ascii="楷体" w:hAnsi="楷体" w:eastAsia="楷体" w:cs="楷体"/>
          <w:color w:val="auto"/>
          <w:sz w:val="32"/>
          <w:szCs w:val="32"/>
          <w:highlight w:val="none"/>
          <w:u w:val="single"/>
          <w:lang w:val="en-US"/>
        </w:rPr>
        <w:t xml:space="preserve">   </w:t>
      </w:r>
    </w:p>
    <w:p w14:paraId="68EC4F3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u w:val="single"/>
          <w:lang w:val="en-US"/>
        </w:rPr>
      </w:pPr>
      <w:r>
        <w:rPr>
          <w:rFonts w:hint="eastAsia" w:ascii="楷体" w:hAnsi="楷体" w:eastAsia="楷体" w:cs="楷体"/>
          <w:color w:val="auto"/>
          <w:sz w:val="32"/>
          <w:szCs w:val="32"/>
          <w:highlight w:val="none"/>
        </w:rPr>
        <w:t>指导教师</w:t>
      </w:r>
      <w:r>
        <w:rPr>
          <w:rFonts w:hint="eastAsia" w:ascii="楷体" w:hAnsi="楷体" w:eastAsia="楷体" w:cs="楷体"/>
          <w:color w:val="auto"/>
          <w:sz w:val="32"/>
          <w:szCs w:val="32"/>
          <w:highlight w:val="none"/>
          <w:lang w:val="en-US"/>
        </w:rPr>
        <w:t>：</w:t>
      </w:r>
      <w:r>
        <w:rPr>
          <w:rFonts w:hint="eastAsia" w:ascii="楷体" w:hAnsi="楷体" w:eastAsia="楷体" w:cs="楷体"/>
          <w:color w:val="auto"/>
          <w:sz w:val="32"/>
          <w:szCs w:val="32"/>
          <w:highlight w:val="none"/>
          <w:u w:val="single"/>
          <w:lang w:val="en-US"/>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 xml:space="preserve">叶章评  李琦钰 </w:t>
      </w:r>
      <w:r>
        <w:rPr>
          <w:rFonts w:hint="eastAsia" w:ascii="楷体" w:hAnsi="楷体" w:eastAsia="楷体" w:cs="楷体"/>
          <w:color w:val="auto"/>
          <w:sz w:val="32"/>
          <w:szCs w:val="32"/>
          <w:highlight w:val="none"/>
          <w:u w:val="single"/>
          <w:lang w:val="en-US"/>
        </w:rPr>
        <w:t xml:space="preserve"> </w:t>
      </w:r>
      <w:r>
        <w:rPr>
          <w:rFonts w:hint="eastAsia" w:ascii="楷体" w:hAnsi="楷体" w:eastAsia="楷体" w:cs="楷体"/>
          <w:color w:val="auto"/>
          <w:sz w:val="32"/>
          <w:szCs w:val="32"/>
          <w:highlight w:val="none"/>
          <w:u w:val="single"/>
          <w:lang w:val="en-US" w:eastAsia="zh-CN"/>
        </w:rPr>
        <w:t xml:space="preserve"> </w:t>
      </w:r>
      <w:r>
        <w:rPr>
          <w:rFonts w:hint="eastAsia" w:ascii="楷体" w:hAnsi="楷体" w:eastAsia="楷体" w:cs="楷体"/>
          <w:color w:val="auto"/>
          <w:sz w:val="32"/>
          <w:szCs w:val="32"/>
          <w:highlight w:val="none"/>
          <w:u w:val="single"/>
          <w:lang w:val="en-US"/>
        </w:rPr>
        <w:t xml:space="preserve"> </w:t>
      </w:r>
    </w:p>
    <w:p w14:paraId="22D5835B">
      <w:pPr>
        <w:snapToGrid w:val="0"/>
        <w:spacing w:before="156" w:beforeLines="50" w:line="270" w:lineRule="atLeast"/>
        <w:ind w:firstLine="1920" w:firstLineChars="600"/>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职    称：</w:t>
      </w:r>
      <w:r>
        <w:rPr>
          <w:rFonts w:hint="eastAsia" w:ascii="楷体" w:hAnsi="楷体" w:eastAsia="楷体" w:cs="楷体"/>
          <w:color w:val="auto"/>
          <w:sz w:val="32"/>
          <w:szCs w:val="32"/>
          <w:highlight w:val="none"/>
          <w:u w:val="single"/>
        </w:rPr>
        <w:t xml:space="preserve">    </w:t>
      </w:r>
      <w:r>
        <w:rPr>
          <w:rFonts w:hint="eastAsia" w:ascii="宋体" w:hAnsi="宋体"/>
          <w:color w:val="000000" w:themeColor="text1"/>
          <w:sz w:val="30"/>
          <w:szCs w:val="30"/>
          <w:highlight w:val="none"/>
          <w:u w:val="single"/>
          <w:lang w:val="en-US" w:eastAsia="zh-CN"/>
          <w14:textFill>
            <w14:solidFill>
              <w14:schemeClr w14:val="tx1"/>
            </w14:solidFill>
          </w14:textFill>
        </w:rPr>
        <w:t>高级工程师 助教</w:t>
      </w:r>
      <w:r>
        <w:rPr>
          <w:rFonts w:hint="eastAsia" w:ascii="楷体" w:hAnsi="楷体" w:eastAsia="楷体" w:cs="楷体"/>
          <w:color w:val="auto"/>
          <w:sz w:val="32"/>
          <w:szCs w:val="32"/>
          <w:highlight w:val="none"/>
          <w:u w:val="single"/>
        </w:rPr>
        <w:t xml:space="preserve">   </w:t>
      </w:r>
    </w:p>
    <w:p w14:paraId="23324136">
      <w:pPr>
        <w:snapToGrid w:val="0"/>
        <w:spacing w:before="156" w:beforeLines="50" w:line="270" w:lineRule="atLeast"/>
        <w:jc w:val="both"/>
        <w:textAlignment w:val="baseline"/>
        <w:rPr>
          <w:rFonts w:hint="eastAsia" w:ascii="楷体" w:hAnsi="楷体" w:eastAsia="楷体" w:cs="楷体"/>
          <w:color w:val="auto"/>
          <w:sz w:val="32"/>
          <w:szCs w:val="32"/>
          <w:highlight w:val="none"/>
        </w:rPr>
      </w:pPr>
    </w:p>
    <w:p w14:paraId="175A74B5">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t>提交日期：</w:t>
      </w:r>
      <w:r>
        <w:rPr>
          <w:rFonts w:hint="eastAsia" w:ascii="楷体" w:hAnsi="楷体" w:eastAsia="楷体" w:cs="楷体"/>
          <w:color w:val="auto"/>
          <w:sz w:val="32"/>
          <w:szCs w:val="32"/>
          <w:highlight w:val="none"/>
          <w:lang w:val="en-US" w:eastAsia="zh-CN"/>
        </w:rPr>
        <w:t>2026</w:t>
      </w:r>
      <w:r>
        <w:rPr>
          <w:rFonts w:hint="eastAsia" w:ascii="楷体" w:hAnsi="楷体" w:eastAsia="楷体" w:cs="楷体"/>
          <w:color w:val="auto"/>
          <w:sz w:val="32"/>
          <w:szCs w:val="32"/>
          <w:highlight w:val="none"/>
        </w:rPr>
        <w:t>年</w:t>
      </w:r>
      <w:r>
        <w:rPr>
          <w:rFonts w:hint="eastAsia" w:ascii="楷体" w:hAnsi="楷体" w:eastAsia="楷体" w:cs="楷体"/>
          <w:color w:val="auto"/>
          <w:sz w:val="32"/>
          <w:szCs w:val="32"/>
          <w:highlight w:val="none"/>
          <w:lang w:val="en-US" w:eastAsia="zh-CN"/>
        </w:rPr>
        <w:t>7</w:t>
      </w:r>
      <w:r>
        <w:rPr>
          <w:rFonts w:hint="eastAsia" w:ascii="楷体" w:hAnsi="楷体" w:eastAsia="楷体" w:cs="楷体"/>
          <w:color w:val="auto"/>
          <w:sz w:val="32"/>
          <w:szCs w:val="32"/>
          <w:highlight w:val="none"/>
        </w:rPr>
        <w:t>月</w:t>
      </w:r>
      <w:r>
        <w:rPr>
          <w:rFonts w:hint="eastAsia" w:ascii="楷体" w:hAnsi="楷体" w:eastAsia="楷体" w:cs="楷体"/>
          <w:color w:val="auto"/>
          <w:sz w:val="32"/>
          <w:szCs w:val="32"/>
          <w:highlight w:val="none"/>
          <w:lang w:val="en-US" w:eastAsia="zh-CN"/>
        </w:rPr>
        <w:t>26</w:t>
      </w:r>
      <w:r>
        <w:rPr>
          <w:rFonts w:hint="eastAsia" w:ascii="楷体" w:hAnsi="楷体" w:eastAsia="楷体" w:cs="楷体"/>
          <w:color w:val="auto"/>
          <w:sz w:val="32"/>
          <w:szCs w:val="32"/>
          <w:highlight w:val="none"/>
        </w:rPr>
        <w:t>日</w:t>
      </w:r>
    </w:p>
    <w:p w14:paraId="6D8CBCAD">
      <w:pPr>
        <w:rPr>
          <w:rFonts w:ascii="楷体" w:hAnsi="楷体" w:eastAsia="楷体" w:cs="楷体"/>
          <w:color w:val="auto"/>
          <w:sz w:val="32"/>
          <w:szCs w:val="32"/>
          <w:highlight w:val="none"/>
        </w:rPr>
      </w:pPr>
      <w:r>
        <w:rPr>
          <w:rFonts w:hint="eastAsia" w:ascii="楷体" w:hAnsi="楷体" w:eastAsia="楷体" w:cs="楷体"/>
          <w:color w:val="auto"/>
          <w:sz w:val="32"/>
          <w:szCs w:val="32"/>
          <w:highlight w:val="none"/>
        </w:rPr>
        <w:br w:type="page"/>
      </w:r>
    </w:p>
    <w:p w14:paraId="61A082AD">
      <w:pPr>
        <w:pStyle w:val="12"/>
        <w:snapToGrid w:val="0"/>
        <w:jc w:val="center"/>
        <w:rPr>
          <w:b/>
          <w:color w:val="auto"/>
          <w:sz w:val="36"/>
          <w:highlight w:val="none"/>
        </w:rPr>
        <w:sectPr>
          <w:headerReference r:id="rId5" w:type="default"/>
          <w:pgSz w:w="11906" w:h="16838"/>
          <w:pgMar w:top="1701" w:right="1134" w:bottom="1417" w:left="1417" w:header="907" w:footer="850" w:gutter="283"/>
          <w:pgNumType w:fmt="numberInDash" w:start="1"/>
          <w:cols w:space="0" w:num="1"/>
          <w:docGrid w:type="lines" w:linePitch="312" w:charSpace="0"/>
        </w:sectPr>
      </w:pPr>
    </w:p>
    <w:p w14:paraId="428A78FB">
      <w:pPr>
        <w:pStyle w:val="12"/>
        <w:snapToGrid w:val="0"/>
        <w:jc w:val="center"/>
        <w:rPr>
          <w:b/>
          <w:color w:val="auto"/>
          <w:highlight w:val="none"/>
        </w:rPr>
      </w:pPr>
      <w:r>
        <w:rPr>
          <w:rFonts w:hint="eastAsia"/>
          <w:b/>
          <w:color w:val="auto"/>
          <w:sz w:val="36"/>
          <w:highlight w:val="none"/>
        </w:rPr>
        <w:t>本科</w:t>
      </w:r>
      <w:r>
        <w:rPr>
          <w:rFonts w:hint="eastAsia"/>
          <w:b/>
          <w:color w:val="auto"/>
          <w:sz w:val="36"/>
          <w:highlight w:val="none"/>
          <w:lang w:val="en-US" w:eastAsia="zh-CN"/>
        </w:rPr>
        <w:t>毕业</w:t>
      </w:r>
      <w:r>
        <w:rPr>
          <w:rFonts w:hint="eastAsia"/>
          <w:b/>
          <w:color w:val="auto"/>
          <w:sz w:val="36"/>
          <w:highlight w:val="none"/>
        </w:rPr>
        <w:t>设计</w:t>
      </w:r>
      <w:r>
        <w:rPr>
          <w:b/>
          <w:color w:val="auto"/>
          <w:sz w:val="36"/>
          <w:highlight w:val="none"/>
        </w:rPr>
        <w:t>真实性承诺及指导教师声明</w:t>
      </w:r>
    </w:p>
    <w:p w14:paraId="5EDD4402">
      <w:pPr>
        <w:pStyle w:val="12"/>
        <w:snapToGrid w:val="0"/>
        <w:spacing w:line="360" w:lineRule="atLeast"/>
        <w:jc w:val="center"/>
        <w:rPr>
          <w:b/>
          <w:color w:val="auto"/>
          <w:sz w:val="28"/>
          <w:highlight w:val="none"/>
        </w:rPr>
      </w:pPr>
    </w:p>
    <w:p w14:paraId="5453B283">
      <w:pPr>
        <w:pStyle w:val="12"/>
        <w:snapToGrid w:val="0"/>
        <w:spacing w:line="360" w:lineRule="atLeast"/>
        <w:jc w:val="center"/>
        <w:rPr>
          <w:b/>
          <w:color w:val="auto"/>
          <w:sz w:val="32"/>
          <w:szCs w:val="28"/>
          <w:highlight w:val="none"/>
        </w:rPr>
      </w:pPr>
      <w:r>
        <w:rPr>
          <w:b/>
          <w:color w:val="auto"/>
          <w:sz w:val="32"/>
          <w:szCs w:val="28"/>
          <w:highlight w:val="none"/>
        </w:rPr>
        <w:t>学生</w:t>
      </w:r>
      <w:r>
        <w:rPr>
          <w:rFonts w:hint="eastAsia"/>
          <w:b/>
          <w:color w:val="auto"/>
          <w:sz w:val="32"/>
          <w:szCs w:val="28"/>
          <w:highlight w:val="none"/>
          <w:lang w:val="en-US" w:eastAsia="zh-CN"/>
        </w:rPr>
        <w:t>毕业</w:t>
      </w:r>
      <w:r>
        <w:rPr>
          <w:b/>
          <w:color w:val="auto"/>
          <w:sz w:val="32"/>
          <w:szCs w:val="28"/>
          <w:highlight w:val="none"/>
        </w:rPr>
        <w:t>设计真实性承诺</w:t>
      </w:r>
    </w:p>
    <w:p w14:paraId="776470B2">
      <w:pPr>
        <w:pStyle w:val="6"/>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本人郑重声明：所提交的作品是本人在指导教师的指导下，独立进行研究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工作所取得的成果，内容真实可靠，不存在抄袭、造假等学术不端行为。除文中已经注明引用的内容外，本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不含其他个人或集体已经发表或撰写</w:t>
      </w:r>
      <w:r>
        <w:rPr>
          <w:rFonts w:hint="eastAsia" w:asciiTheme="minorEastAsia" w:hAnsiTheme="minorEastAsia" w:eastAsiaTheme="minorEastAsia" w:cstheme="minorEastAsia"/>
          <w:color w:val="auto"/>
          <w:sz w:val="28"/>
          <w:szCs w:val="28"/>
          <w:highlight w:val="none"/>
          <w:lang w:val="en-US"/>
        </w:rPr>
        <w:t>或发布</w:t>
      </w:r>
      <w:r>
        <w:rPr>
          <w:rFonts w:hint="eastAsia" w:asciiTheme="minorEastAsia" w:hAnsiTheme="minorEastAsia" w:eastAsiaTheme="minorEastAsia" w:cstheme="minorEastAsia"/>
          <w:color w:val="auto"/>
          <w:sz w:val="28"/>
          <w:szCs w:val="28"/>
          <w:highlight w:val="none"/>
        </w:rPr>
        <w:t>过的研究</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成果。对本</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做出重要贡献的个人和集体，均已在文中以明确方式标明。如被发现</w:t>
      </w:r>
      <w:r>
        <w:rPr>
          <w:rFonts w:hint="eastAsia" w:asciiTheme="minorEastAsia" w:hAnsiTheme="minorEastAsia" w:eastAsiaTheme="minorEastAsia" w:cstheme="minorEastAsia"/>
          <w:color w:val="auto"/>
          <w:sz w:val="28"/>
          <w:szCs w:val="28"/>
          <w:highlight w:val="none"/>
          <w:lang w:val="en-US"/>
        </w:rPr>
        <w:t>设计</w:t>
      </w:r>
      <w:r>
        <w:rPr>
          <w:rFonts w:hint="eastAsia" w:asciiTheme="minorEastAsia" w:hAnsiTheme="minorEastAsia" w:eastAsiaTheme="minorEastAsia" w:cstheme="minorEastAsia"/>
          <w:color w:val="auto"/>
          <w:sz w:val="28"/>
          <w:szCs w:val="28"/>
          <w:highlight w:val="none"/>
        </w:rPr>
        <w:t>中存在抄袭、造假等学术不端行为，本人愿承担本声明的法律责任和一切后果。</w:t>
      </w:r>
    </w:p>
    <w:p w14:paraId="18DE3B6C">
      <w:pPr>
        <w:pStyle w:val="6"/>
        <w:snapToGrid w:val="0"/>
        <w:spacing w:line="420" w:lineRule="exact"/>
        <w:ind w:left="440" w:firstLine="640" w:firstLineChars="200"/>
        <w:rPr>
          <w:rFonts w:ascii="宋体" w:hAnsi="宋体"/>
          <w:color w:val="auto"/>
          <w:szCs w:val="28"/>
          <w:highlight w:val="none"/>
        </w:rPr>
      </w:pPr>
    </w:p>
    <w:p w14:paraId="10FC640D">
      <w:pPr>
        <w:pStyle w:val="6"/>
        <w:wordWrap w:val="0"/>
        <w:snapToGrid w:val="0"/>
        <w:ind w:left="440"/>
        <w:jc w:val="right"/>
        <w:rPr>
          <w:rFonts w:ascii="宋体" w:hAnsi="宋体"/>
          <w:color w:val="auto"/>
          <w:sz w:val="36"/>
          <w:szCs w:val="28"/>
          <w:highlight w:val="none"/>
          <w:u w:val="single"/>
          <w:lang w:val="en-US"/>
        </w:rPr>
      </w:pPr>
      <w:r>
        <w:rPr>
          <w:rFonts w:hint="eastAsia" w:ascii="宋体" w:hAnsi="宋体"/>
          <w:color w:val="auto"/>
          <w:szCs w:val="28"/>
          <w:highlight w:val="none"/>
        </w:rPr>
        <w:t>毕业</w:t>
      </w:r>
      <w:r>
        <w:rPr>
          <w:rFonts w:ascii="宋体" w:hAnsi="宋体"/>
          <w:color w:val="auto"/>
          <w:szCs w:val="28"/>
          <w:highlight w:val="none"/>
        </w:rPr>
        <w:t>生签名</w:t>
      </w:r>
      <w:r>
        <w:rPr>
          <w:rFonts w:ascii="宋体" w:hAnsi="宋体"/>
          <w:color w:val="auto"/>
          <w:sz w:val="28"/>
          <w:szCs w:val="28"/>
          <w:highlight w:val="none"/>
        </w:rPr>
        <w:t>：</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hint="eastAsia" w:ascii="宋体" w:hAnsi="宋体"/>
          <w:color w:val="auto"/>
          <w:sz w:val="28"/>
          <w:szCs w:val="28"/>
          <w:highlight w:val="none"/>
          <w:u w:val="single"/>
        </w:rPr>
        <w:t xml:space="preserve">  </w:t>
      </w:r>
      <w:r>
        <w:rPr>
          <w:rFonts w:ascii="宋体" w:hAnsi="宋体"/>
          <w:color w:val="auto"/>
          <w:sz w:val="28"/>
          <w:szCs w:val="28"/>
          <w:highlight w:val="none"/>
          <w:u w:val="single"/>
        </w:rPr>
        <w:t xml:space="preserve"> </w:t>
      </w:r>
      <w:r>
        <w:rPr>
          <w:rFonts w:ascii="宋体" w:hAnsi="宋体"/>
          <w:color w:val="auto"/>
          <w:sz w:val="28"/>
          <w:szCs w:val="28"/>
          <w:highlight w:val="none"/>
          <w:u w:val="single"/>
        </w:rPr>
        <w:tab/>
      </w:r>
      <w:r>
        <w:rPr>
          <w:rFonts w:hint="eastAsia" w:ascii="宋体" w:hAnsi="宋体"/>
          <w:color w:val="auto"/>
          <w:sz w:val="28"/>
          <w:szCs w:val="28"/>
          <w:highlight w:val="none"/>
          <w:u w:val="none"/>
          <w:lang w:val="en-US" w:eastAsia="zh-CN"/>
        </w:rPr>
        <w:t xml:space="preserve"> </w:t>
      </w:r>
      <w:r>
        <w:rPr>
          <w:rFonts w:ascii="宋体" w:hAnsi="宋体"/>
          <w:color w:val="auto"/>
          <w:szCs w:val="28"/>
          <w:highlight w:val="none"/>
        </w:rPr>
        <w:t>日  期</w:t>
      </w:r>
      <w:r>
        <w:rPr>
          <w:rFonts w:ascii="宋体" w:hAnsi="宋体"/>
          <w:color w:val="auto"/>
          <w:sz w:val="28"/>
          <w:szCs w:val="28"/>
          <w:highlight w:val="none"/>
        </w:rPr>
        <w:t>：</w:t>
      </w:r>
      <w:r>
        <w:rPr>
          <w:rFonts w:hint="eastAsia" w:ascii="宋体" w:hAnsi="宋体"/>
          <w:color w:val="auto"/>
          <w:sz w:val="28"/>
          <w:szCs w:val="28"/>
          <w:highlight w:val="none"/>
          <w:lang w:val="en-US"/>
        </w:rPr>
        <w:t xml:space="preserve"> </w:t>
      </w:r>
      <w:r>
        <w:rPr>
          <w:rFonts w:hint="eastAsia" w:ascii="宋体" w:hAnsi="宋体"/>
          <w:color w:val="auto"/>
          <w:sz w:val="28"/>
          <w:szCs w:val="28"/>
          <w:highlight w:val="none"/>
          <w:u w:val="single"/>
          <w:lang w:val="en-US"/>
        </w:rPr>
        <w:t xml:space="preserve">         </w:t>
      </w:r>
      <w:r>
        <w:rPr>
          <w:rFonts w:hint="eastAsia" w:ascii="宋体" w:hAnsi="宋体"/>
          <w:color w:val="auto"/>
          <w:sz w:val="28"/>
          <w:szCs w:val="28"/>
          <w:highlight w:val="none"/>
          <w:u w:val="single"/>
          <w:lang w:val="en-US" w:eastAsia="zh-CN"/>
        </w:rPr>
        <w:t xml:space="preserve"> </w:t>
      </w:r>
      <w:r>
        <w:rPr>
          <w:rFonts w:hint="eastAsia" w:ascii="宋体" w:hAnsi="宋体"/>
          <w:color w:val="auto"/>
          <w:sz w:val="28"/>
          <w:szCs w:val="28"/>
          <w:highlight w:val="none"/>
          <w:lang w:val="en-US"/>
        </w:rPr>
        <w:t xml:space="preserve"> </w:t>
      </w:r>
    </w:p>
    <w:p w14:paraId="5398BA5B">
      <w:pPr>
        <w:pStyle w:val="12"/>
        <w:snapToGrid w:val="0"/>
        <w:spacing w:line="360" w:lineRule="atLeast"/>
        <w:jc w:val="center"/>
        <w:rPr>
          <w:b/>
          <w:color w:val="auto"/>
          <w:sz w:val="32"/>
          <w:szCs w:val="28"/>
          <w:highlight w:val="none"/>
        </w:rPr>
      </w:pPr>
    </w:p>
    <w:p w14:paraId="779DB692">
      <w:pPr>
        <w:pStyle w:val="12"/>
        <w:snapToGrid w:val="0"/>
        <w:spacing w:line="360" w:lineRule="atLeast"/>
        <w:jc w:val="center"/>
        <w:rPr>
          <w:b/>
          <w:color w:val="auto"/>
          <w:sz w:val="32"/>
          <w:szCs w:val="28"/>
          <w:highlight w:val="none"/>
        </w:rPr>
      </w:pPr>
      <w:r>
        <w:rPr>
          <w:b/>
          <w:color w:val="auto"/>
          <w:sz w:val="32"/>
          <w:szCs w:val="28"/>
          <w:highlight w:val="none"/>
        </w:rPr>
        <w:t>指导教师关于学生</w:t>
      </w:r>
      <w:r>
        <w:rPr>
          <w:rFonts w:hint="eastAsia"/>
          <w:b/>
          <w:color w:val="auto"/>
          <w:sz w:val="32"/>
          <w:szCs w:val="28"/>
          <w:highlight w:val="none"/>
          <w:lang w:val="en-US" w:eastAsia="zh-CN"/>
        </w:rPr>
        <w:t>毕业</w:t>
      </w:r>
      <w:r>
        <w:rPr>
          <w:b/>
          <w:color w:val="auto"/>
          <w:sz w:val="32"/>
          <w:szCs w:val="28"/>
          <w:highlight w:val="none"/>
        </w:rPr>
        <w:t>设计真实性审核的声明</w:t>
      </w:r>
    </w:p>
    <w:p w14:paraId="478A86B1">
      <w:pPr>
        <w:pStyle w:val="6"/>
        <w:keepNext w:val="0"/>
        <w:keepLines w:val="0"/>
        <w:pageBreakBefore w:val="0"/>
        <w:widowControl w:val="0"/>
        <w:kinsoku/>
        <w:wordWrap/>
        <w:overflowPunct/>
        <w:topLinePunct w:val="0"/>
        <w:autoSpaceDE/>
        <w:autoSpaceDN/>
        <w:bidi w:val="0"/>
        <w:adjustRightInd/>
        <w:snapToGrid/>
        <w:spacing w:after="0" w:line="360" w:lineRule="auto"/>
        <w:ind w:left="0" w:leftChars="0" w:firstLine="560" w:firstLineChars="200"/>
        <w:textAlignment w:val="auto"/>
        <w:rPr>
          <w:rFonts w:ascii="宋体" w:hAnsi="宋体"/>
          <w:color w:val="auto"/>
          <w:sz w:val="28"/>
          <w:szCs w:val="28"/>
          <w:highlight w:val="none"/>
        </w:rPr>
      </w:pPr>
      <w:r>
        <w:rPr>
          <w:rFonts w:ascii="宋体" w:hAnsi="宋体"/>
          <w:color w:val="auto"/>
          <w:sz w:val="28"/>
          <w:szCs w:val="28"/>
          <w:highlight w:val="none"/>
        </w:rPr>
        <w:t>本人郑重声明：</w:t>
      </w:r>
      <w:r>
        <w:rPr>
          <w:rFonts w:hint="eastAsia" w:ascii="宋体" w:hAnsi="宋体"/>
          <w:color w:val="auto"/>
          <w:sz w:val="28"/>
          <w:szCs w:val="28"/>
          <w:highlight w:val="none"/>
        </w:rPr>
        <w:t>已经对学生</w:t>
      </w:r>
      <w:r>
        <w:rPr>
          <w:rFonts w:hint="eastAsia" w:ascii="宋体" w:hAnsi="宋体"/>
          <w:color w:val="auto"/>
          <w:sz w:val="28"/>
          <w:szCs w:val="28"/>
          <w:highlight w:val="none"/>
          <w:lang w:val="en-US" w:eastAsia="zh-CN"/>
        </w:rPr>
        <w:t>毕业</w:t>
      </w:r>
      <w:r>
        <w:rPr>
          <w:rFonts w:hint="eastAsia" w:ascii="宋体" w:hAnsi="宋体"/>
          <w:color w:val="auto"/>
          <w:sz w:val="28"/>
          <w:szCs w:val="28"/>
          <w:highlight w:val="none"/>
          <w:lang w:val="en-US"/>
        </w:rPr>
        <w:t>设计</w:t>
      </w:r>
      <w:r>
        <w:rPr>
          <w:rFonts w:hint="eastAsia" w:ascii="宋体" w:hAnsi="宋体"/>
          <w:color w:val="auto"/>
          <w:sz w:val="28"/>
          <w:szCs w:val="28"/>
          <w:highlight w:val="none"/>
        </w:rPr>
        <w:t>所涉及的内容进行严格审核，确定其内容均由学生在本人指导下取得，对他人</w:t>
      </w:r>
      <w:r>
        <w:rPr>
          <w:rFonts w:hint="eastAsia" w:ascii="宋体" w:hAnsi="宋体"/>
          <w:color w:val="auto"/>
          <w:sz w:val="28"/>
          <w:szCs w:val="28"/>
          <w:highlight w:val="none"/>
          <w:lang w:val="en-US"/>
        </w:rPr>
        <w:t>设计</w:t>
      </w:r>
      <w:r>
        <w:rPr>
          <w:rFonts w:hint="eastAsia" w:ascii="宋体" w:hAnsi="宋体"/>
          <w:color w:val="auto"/>
          <w:sz w:val="28"/>
          <w:szCs w:val="28"/>
          <w:highlight w:val="none"/>
        </w:rPr>
        <w:t>及成果的引用已经明确注明，不存在抄袭等学术不端行为</w:t>
      </w:r>
      <w:r>
        <w:rPr>
          <w:rFonts w:ascii="宋体" w:hAnsi="宋体"/>
          <w:color w:val="auto"/>
          <w:sz w:val="28"/>
          <w:szCs w:val="28"/>
          <w:highlight w:val="none"/>
        </w:rPr>
        <w:t>。</w:t>
      </w:r>
    </w:p>
    <w:p w14:paraId="2C1E30C8">
      <w:pPr>
        <w:pStyle w:val="6"/>
        <w:snapToGrid w:val="0"/>
        <w:spacing w:line="420" w:lineRule="exact"/>
        <w:ind w:left="440" w:firstLine="640" w:firstLineChars="200"/>
        <w:rPr>
          <w:rFonts w:ascii="宋体" w:hAnsi="宋体"/>
          <w:color w:val="auto"/>
          <w:szCs w:val="28"/>
          <w:highlight w:val="none"/>
        </w:rPr>
      </w:pPr>
    </w:p>
    <w:p w14:paraId="189C4126">
      <w:pPr>
        <w:pStyle w:val="6"/>
        <w:snapToGrid w:val="0"/>
        <w:spacing w:line="420" w:lineRule="exact"/>
        <w:ind w:left="440" w:firstLine="640" w:firstLineChars="200"/>
        <w:rPr>
          <w:rFonts w:ascii="宋体" w:hAnsi="宋体"/>
          <w:color w:val="auto"/>
          <w:szCs w:val="28"/>
          <w:highlight w:val="none"/>
        </w:rPr>
      </w:pPr>
    </w:p>
    <w:p w14:paraId="7867E515">
      <w:pPr>
        <w:adjustRightInd w:val="0"/>
        <w:snapToGrid w:val="0"/>
        <w:spacing w:line="300" w:lineRule="auto"/>
        <w:jc w:val="right"/>
        <w:rPr>
          <w:rFonts w:ascii="宋体" w:hAnsi="宋体"/>
          <w:color w:val="auto"/>
          <w:sz w:val="24"/>
          <w:highlight w:val="none"/>
          <w:u w:val="single"/>
        </w:rPr>
      </w:pPr>
      <w:r>
        <w:rPr>
          <w:rFonts w:hint="eastAsia" w:ascii="宋体" w:hAnsi="宋体"/>
          <w:color w:val="auto"/>
          <w:sz w:val="32"/>
          <w:szCs w:val="28"/>
          <w:highlight w:val="none"/>
        </w:rPr>
        <w:t xml:space="preserve">指导教师签名：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8"/>
          <w:szCs w:val="24"/>
          <w:highlight w:val="none"/>
          <w:u w:val="single"/>
        </w:rPr>
        <w:tab/>
      </w:r>
      <w:r>
        <w:rPr>
          <w:rFonts w:hint="eastAsia" w:ascii="宋体" w:hAnsi="宋体"/>
          <w:color w:val="auto"/>
          <w:sz w:val="28"/>
          <w:szCs w:val="24"/>
          <w:highlight w:val="none"/>
          <w:u w:val="single"/>
          <w:lang w:val="en-US" w:eastAsia="zh-CN"/>
        </w:rPr>
        <w:t xml:space="preserve"> </w:t>
      </w:r>
      <w:r>
        <w:rPr>
          <w:rFonts w:hint="eastAsia" w:ascii="宋体" w:hAnsi="宋体"/>
          <w:color w:val="auto"/>
          <w:sz w:val="28"/>
          <w:szCs w:val="24"/>
          <w:highlight w:val="none"/>
          <w:u w:val="none"/>
          <w:lang w:val="en-US" w:eastAsia="zh-CN"/>
        </w:rPr>
        <w:t xml:space="preserve"> </w:t>
      </w:r>
      <w:r>
        <w:rPr>
          <w:rFonts w:hint="eastAsia" w:ascii="宋体" w:hAnsi="宋体"/>
          <w:color w:val="auto"/>
          <w:sz w:val="32"/>
          <w:szCs w:val="28"/>
          <w:highlight w:val="none"/>
        </w:rPr>
        <w:t>日  期：</w:t>
      </w:r>
      <w:r>
        <w:rPr>
          <w:rFonts w:hint="eastAsia" w:ascii="宋体" w:hAnsi="宋体"/>
          <w:color w:val="auto"/>
          <w:sz w:val="32"/>
          <w:szCs w:val="28"/>
          <w:highlight w:val="none"/>
          <w:u w:val="single"/>
        </w:rPr>
        <w:t xml:space="preserve"> </w:t>
      </w:r>
      <w:r>
        <w:rPr>
          <w:rFonts w:ascii="宋体" w:hAnsi="宋体"/>
          <w:color w:val="auto"/>
          <w:sz w:val="28"/>
          <w:szCs w:val="24"/>
          <w:highlight w:val="none"/>
          <w:u w:val="single"/>
        </w:rPr>
        <w:t xml:space="preserve">      </w:t>
      </w:r>
      <w:r>
        <w:rPr>
          <w:rFonts w:hint="eastAsia" w:ascii="宋体" w:hAnsi="宋体"/>
          <w:color w:val="auto"/>
          <w:sz w:val="28"/>
          <w:szCs w:val="24"/>
          <w:highlight w:val="none"/>
          <w:u w:val="single"/>
        </w:rPr>
        <w:t xml:space="preserve"> </w:t>
      </w:r>
      <w:r>
        <w:rPr>
          <w:rFonts w:ascii="宋体" w:hAnsi="宋体"/>
          <w:color w:val="auto"/>
          <w:sz w:val="28"/>
          <w:szCs w:val="24"/>
          <w:highlight w:val="none"/>
          <w:u w:val="single"/>
        </w:rPr>
        <w:t xml:space="preserve"> </w:t>
      </w:r>
      <w:r>
        <w:rPr>
          <w:rFonts w:ascii="宋体" w:hAnsi="宋体"/>
          <w:color w:val="auto"/>
          <w:sz w:val="24"/>
          <w:highlight w:val="none"/>
          <w:u w:val="single"/>
        </w:rPr>
        <w:tab/>
      </w:r>
      <w:r>
        <w:rPr>
          <w:rFonts w:ascii="宋体" w:hAnsi="宋体"/>
          <w:color w:val="auto"/>
          <w:sz w:val="24"/>
          <w:highlight w:val="none"/>
          <w:u w:val="single"/>
        </w:rPr>
        <w:t xml:space="preserve">  </w:t>
      </w:r>
    </w:p>
    <w:p w14:paraId="10B12AC7">
      <w:pPr>
        <w:spacing w:line="400" w:lineRule="exact"/>
        <w:rPr>
          <w:rFonts w:ascii="宋体" w:hAnsi="宋体"/>
          <w:color w:val="auto"/>
          <w:sz w:val="24"/>
          <w:szCs w:val="24"/>
          <w:highlight w:val="none"/>
        </w:rPr>
      </w:pPr>
    </w:p>
    <w:p w14:paraId="6ECF096A">
      <w:pPr>
        <w:autoSpaceDE/>
        <w:autoSpaceDN/>
        <w:spacing w:before="480" w:after="360"/>
        <w:jc w:val="center"/>
        <w:rPr>
          <w:rFonts w:hint="eastAsia" w:asciiTheme="minorEastAsia" w:hAnsiTheme="minorEastAsia" w:eastAsiaTheme="minorEastAsia" w:cstheme="minorEastAsia"/>
          <w:b/>
          <w:bCs/>
          <w:color w:val="auto"/>
          <w:sz w:val="44"/>
          <w:szCs w:val="44"/>
          <w:highlight w:val="none"/>
          <w:lang w:val="en-US"/>
        </w:rPr>
        <w:sectPr>
          <w:headerReference r:id="rId6" w:type="default"/>
          <w:footerReference r:id="rId7" w:type="default"/>
          <w:pgSz w:w="11906" w:h="16838"/>
          <w:pgMar w:top="1701" w:right="1134" w:bottom="1417" w:left="1417" w:header="907" w:footer="850" w:gutter="283"/>
          <w:pgNumType w:fmt="numberInDash" w:start="1"/>
          <w:cols w:space="0" w:num="1"/>
          <w:docGrid w:type="lines" w:linePitch="312" w:charSpace="0"/>
        </w:sectPr>
      </w:pPr>
    </w:p>
    <w:p w14:paraId="40371912">
      <w:pPr>
        <w:keepNext w:val="0"/>
        <w:keepLines w:val="0"/>
        <w:pageBreakBefore w:val="0"/>
        <w:widowControl w:val="0"/>
        <w:kinsoku/>
        <w:wordWrap/>
        <w:overflowPunct/>
        <w:topLinePunct w:val="0"/>
        <w:autoSpaceDE/>
        <w:autoSpaceDN/>
        <w:bidi w:val="0"/>
        <w:adjustRightInd/>
        <w:snapToGrid/>
        <w:spacing w:before="480" w:after="360" w:line="580" w:lineRule="exact"/>
        <w:jc w:val="center"/>
        <w:textAlignment w:val="auto"/>
        <w:rPr>
          <w:rFonts w:ascii="宋体" w:hAnsi="宋体"/>
          <w:color w:val="auto"/>
          <w:sz w:val="44"/>
          <w:szCs w:val="44"/>
          <w:highlight w:val="none"/>
        </w:rPr>
      </w:pPr>
      <w:r>
        <w:rPr>
          <w:rFonts w:asciiTheme="minorEastAsia" w:hAnsiTheme="minorEastAsia" w:eastAsiaTheme="minorEastAsia" w:cstheme="minorEastAsia"/>
          <w:b/>
          <w:bCs/>
          <w:color w:val="auto"/>
          <w:sz w:val="44"/>
          <w:szCs w:val="44"/>
          <w:highlight w:val="none"/>
          <w:lang w:val="en-US"/>
        </w:rPr>
        <mc:AlternateContent>
          <mc:Choice Requires="wps">
            <w:drawing>
              <wp:anchor distT="0" distB="0" distL="114300" distR="114300" simplePos="0" relativeHeight="251676672" behindDoc="0" locked="0" layoutInCell="1" allowOverlap="1">
                <wp:simplePos x="0" y="0"/>
                <wp:positionH relativeFrom="column">
                  <wp:posOffset>4323715</wp:posOffset>
                </wp:positionH>
                <wp:positionV relativeFrom="paragraph">
                  <wp:posOffset>24130</wp:posOffset>
                </wp:positionV>
                <wp:extent cx="1950085" cy="476885"/>
                <wp:effectExtent l="6350" t="6350" r="24765" b="12065"/>
                <wp:wrapNone/>
                <wp:docPr id="4" name="文本框 4"/>
                <wp:cNvGraphicFramePr/>
                <a:graphic xmlns:a="http://schemas.openxmlformats.org/drawingml/2006/main">
                  <a:graphicData uri="http://schemas.microsoft.com/office/word/2010/wordprocessingShape">
                    <wps:wsp>
                      <wps:cNvSpPr txBox="1"/>
                      <wps:spPr>
                        <a:xfrm>
                          <a:off x="0" y="0"/>
                          <a:ext cx="1950085" cy="4768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45pt;margin-top:1.9pt;height:37.55pt;width:153.55pt;z-index:251676672;mso-width-relative:page;mso-height-relative:page;" filled="f" stroked="t" coordsize="21600,21600" o:gfxdata="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mXvztYAAAAIAQAADwAAAAAAAAABACAAAAAi&#10;AAAAZHJzL2Rvd25yZXYueG1sUEsBAhQAFAAAAAgAh07iQBJ5lYh+AgAA4QQAAA4AAAAAAAAAAQAg&#10;AAAAJQEAAGRycy9lMm9Eb2MueG1sUEsFBgAAAAAGAAYAWQEAABUGAAAAAA==&#10;">
                <v:fill on="f" focussize="0,0"/>
                <v:stroke weight="1pt" color="#ED7D31 [3205]" miterlimit="8" joinstyle="miter"/>
                <v:imagedata o:title=""/>
                <o:lock v:ext="edit" aspectratio="f"/>
                <v:textbox>
                  <w:txbxContent>
                    <w:p w14:paraId="29279947">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宋体，二号，加粗，居中，行距固定2</w:t>
                      </w:r>
                      <w:r>
                        <w:rPr>
                          <w:rFonts w:hint="eastAsia" w:ascii="黑体" w:hAnsi="黑体" w:eastAsia="黑体" w:cs="黑体"/>
                          <w:color w:val="FF0000"/>
                          <w:sz w:val="24"/>
                          <w:szCs w:val="24"/>
                          <w:lang w:val="en-US" w:eastAsia="zh-CN"/>
                        </w:rPr>
                        <w:t>9</w:t>
                      </w:r>
                      <w:r>
                        <w:rPr>
                          <w:rFonts w:hint="eastAsia" w:ascii="黑体" w:hAnsi="黑体" w:eastAsia="黑体" w:cs="黑体"/>
                          <w:color w:val="FF0000"/>
                          <w:sz w:val="24"/>
                          <w:szCs w:val="24"/>
                          <w:lang w:val="en-US"/>
                        </w:rPr>
                        <w:t>磅</w:t>
                      </w:r>
                    </w:p>
                  </w:txbxContent>
                </v:textbox>
              </v:shape>
            </w:pict>
          </mc:Fallback>
        </mc:AlternateContent>
      </w:r>
      <w:r>
        <w:rPr>
          <w:rFonts w:hint="eastAsia" w:asciiTheme="minorEastAsia" w:hAnsiTheme="minorEastAsia" w:eastAsiaTheme="minorEastAsia" w:cstheme="minorEastAsia"/>
          <w:b/>
          <w:bCs/>
          <w:color w:val="auto"/>
          <w:sz w:val="44"/>
          <w:szCs w:val="44"/>
          <w:highlight w:val="none"/>
          <w:lang w:val="en-US"/>
        </w:rPr>
        <w:t>毕业设计题目</w:t>
      </w:r>
    </w:p>
    <w:p w14:paraId="6E1605F0">
      <w:pPr>
        <w:autoSpaceDE/>
        <w:autoSpaceDN/>
        <w:spacing w:before="480" w:after="360"/>
        <w:jc w:val="center"/>
        <w:rPr>
          <w:rFonts w:ascii="黑体" w:hAnsi="黑体" w:eastAsia="黑体" w:cs="黑体"/>
          <w:b/>
          <w:bCs/>
          <w:color w:val="auto"/>
          <w:sz w:val="32"/>
          <w:szCs w:val="32"/>
          <w:highlight w:val="none"/>
          <w:lang w:val="en-US"/>
        </w:rPr>
      </w:pPr>
      <w:r>
        <w:rPr>
          <w:b w:val="0"/>
          <w:bCs w:val="0"/>
          <w:color w:val="auto"/>
          <w:sz w:val="32"/>
          <w:highlight w:val="none"/>
        </w:rPr>
        <mc:AlternateContent>
          <mc:Choice Requires="wps">
            <w:drawing>
              <wp:anchor distT="0" distB="0" distL="114300" distR="114300" simplePos="0" relativeHeight="251677696" behindDoc="0" locked="0" layoutInCell="1" allowOverlap="1">
                <wp:simplePos x="0" y="0"/>
                <wp:positionH relativeFrom="column">
                  <wp:posOffset>3221355</wp:posOffset>
                </wp:positionH>
                <wp:positionV relativeFrom="paragraph">
                  <wp:posOffset>8255</wp:posOffset>
                </wp:positionV>
                <wp:extent cx="2573655" cy="572135"/>
                <wp:effectExtent l="6350" t="6350" r="10795" b="12065"/>
                <wp:wrapNone/>
                <wp:docPr id="6" name="文本框 6"/>
                <wp:cNvGraphicFramePr/>
                <a:graphic xmlns:a="http://schemas.openxmlformats.org/drawingml/2006/main">
                  <a:graphicData uri="http://schemas.microsoft.com/office/word/2010/wordprocessingShape">
                    <wps:wsp>
                      <wps:cNvSpPr txBox="1"/>
                      <wps:spPr>
                        <a:xfrm>
                          <a:off x="0" y="0"/>
                          <a:ext cx="2573655" cy="572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65pt;margin-top:0.65pt;height:45.05pt;width:202.65pt;z-index:251677696;mso-width-relative:page;mso-height-relative:page;" filled="f" stroked="t" coordsize="21600,21600" o:gfxdata="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soW/y1wAAAAgBAAAPAAAAAAAAAAEAIAAA&#10;ACIAAABkcnMvZG93bnJldi54bWxQSwECFAAUAAAACACHTuJA/PL2OX8CAADhBAAADgAAAAAAAAAB&#10;ACAAAAAmAQAAZHJzL2Uyb0RvYy54bWxQSwUGAAAAAAYABgBZAQAAFwYAAAAA&#10;">
                <v:fill on="f" focussize="0,0"/>
                <v:stroke weight="1pt" color="#ED7D31 [3205]" miterlimit="8" joinstyle="miter"/>
                <v:imagedata o:title=""/>
                <o:lock v:ext="edit" aspectratio="f"/>
                <v:textbox>
                  <w:txbxContent>
                    <w:p w14:paraId="3577730D">
                      <w:pPr>
                        <w:rPr>
                          <w:sz w:val="20"/>
                          <w:szCs w:val="20"/>
                          <w:lang w:val="en-US"/>
                        </w:rPr>
                      </w:pPr>
                      <w:r>
                        <w:rPr>
                          <w:rFonts w:hint="eastAsia" w:ascii="黑体" w:hAnsi="黑体" w:eastAsia="黑体" w:cs="黑体"/>
                          <w:color w:val="FF0000"/>
                          <w:sz w:val="24"/>
                          <w:szCs w:val="24"/>
                          <w:lang w:val="en-US" w:eastAsia="zh-CN"/>
                        </w:rPr>
                        <w:t>摘要：</w:t>
                      </w:r>
                      <w:r>
                        <w:rPr>
                          <w:rFonts w:hint="eastAsia" w:ascii="黑体" w:hAnsi="黑体" w:eastAsia="黑体" w:cs="黑体"/>
                          <w:color w:val="FF0000"/>
                          <w:sz w:val="24"/>
                          <w:szCs w:val="24"/>
                          <w:lang w:val="en-US"/>
                        </w:rPr>
                        <w:t>黑体，三号</w:t>
                      </w:r>
                      <w:r>
                        <w:rPr>
                          <w:rFonts w:hint="eastAsia" w:ascii="黑体" w:hAnsi="黑体" w:eastAsia="黑体" w:cs="黑体"/>
                          <w:color w:val="FF0000"/>
                          <w:sz w:val="24"/>
                          <w:szCs w:val="24"/>
                          <w:lang w:val="en-US" w:eastAsia="zh-CN"/>
                        </w:rPr>
                        <w:t>，</w:t>
                      </w:r>
                      <w:r>
                        <w:rPr>
                          <w:rFonts w:hint="eastAsia" w:ascii="黑体" w:hAnsi="黑体" w:eastAsia="黑体" w:cs="黑体"/>
                          <w:color w:val="FF0000"/>
                          <w:sz w:val="24"/>
                          <w:szCs w:val="24"/>
                          <w:lang w:val="en-US"/>
                        </w:rPr>
                        <w:t>居中，段前24磅，段后18磅，单倍行距</w:t>
                      </w:r>
                    </w:p>
                  </w:txbxContent>
                </v:textbox>
              </v:shape>
            </w:pict>
          </mc:Fallback>
        </mc:AlternateContent>
      </w:r>
      <w:r>
        <w:rPr>
          <w:rFonts w:hint="eastAsia" w:ascii="黑体" w:hAnsi="黑体" w:eastAsia="黑体" w:cs="黑体"/>
          <w:b w:val="0"/>
          <w:bCs w:val="0"/>
          <w:color w:val="auto"/>
          <w:sz w:val="32"/>
          <w:szCs w:val="32"/>
          <w:highlight w:val="none"/>
          <w:lang w:val="en-US"/>
        </w:rPr>
        <w:t>摘要</w:t>
      </w:r>
    </w:p>
    <w:p w14:paraId="37858428">
      <w:pPr>
        <w:pStyle w:val="12"/>
        <w:keepNext w:val="0"/>
        <w:keepLines w:val="0"/>
        <w:pageBreakBefore w:val="0"/>
        <w:widowControl/>
        <w:kinsoku/>
        <w:wordWrap/>
        <w:overflowPunct/>
        <w:topLinePunct w:val="0"/>
        <w:autoSpaceDE/>
        <w:autoSpaceDN/>
        <w:bidi w:val="0"/>
        <w:snapToGrid/>
        <w:spacing w:beforeAutospacing="0" w:afterAutospacing="0" w:line="360" w:lineRule="auto"/>
        <w:ind w:firstLine="480" w:firstLineChars="200"/>
        <w:jc w:val="both"/>
        <w:rPr>
          <w:rFonts w:asciiTheme="minorEastAsia" w:hAnsiTheme="minorEastAsia" w:eastAsiaTheme="minorEastAsia" w:cstheme="minorEastAsia"/>
          <w:color w:val="auto"/>
          <w:kern w:val="2"/>
          <w:szCs w:val="24"/>
          <w:highlight w:val="none"/>
        </w:rPr>
      </w:pPr>
      <w:r>
        <w:rPr>
          <w:rFonts w:hint="eastAsia" w:asciiTheme="minorEastAsia" w:hAnsiTheme="minorEastAsia" w:eastAsiaTheme="minorEastAsia" w:cstheme="minorEastAsia"/>
          <w:color w:val="auto"/>
          <w:szCs w:val="24"/>
          <w:highlight w:val="none"/>
        </w:rPr>
        <mc:AlternateContent>
          <mc:Choice Requires="wps">
            <w:drawing>
              <wp:anchor distT="0" distB="0" distL="114300" distR="114300" simplePos="0" relativeHeight="251678720" behindDoc="0" locked="0" layoutInCell="1" allowOverlap="1">
                <wp:simplePos x="0" y="0"/>
                <wp:positionH relativeFrom="column">
                  <wp:posOffset>1187450</wp:posOffset>
                </wp:positionH>
                <wp:positionV relativeFrom="paragraph">
                  <wp:posOffset>894080</wp:posOffset>
                </wp:positionV>
                <wp:extent cx="1776095" cy="496570"/>
                <wp:effectExtent l="6350" t="6350" r="8255" b="11430"/>
                <wp:wrapNone/>
                <wp:docPr id="7" name="文本框 7"/>
                <wp:cNvGraphicFramePr/>
                <a:graphic xmlns:a="http://schemas.openxmlformats.org/drawingml/2006/main">
                  <a:graphicData uri="http://schemas.microsoft.com/office/word/2010/wordprocessingShape">
                    <wps:wsp>
                      <wps:cNvSpPr txBox="1"/>
                      <wps:spPr>
                        <a:xfrm>
                          <a:off x="0" y="0"/>
                          <a:ext cx="1776095" cy="49657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5pt;margin-top:70.4pt;height:39.1pt;width:139.85pt;z-index:251678720;mso-width-relative:page;mso-height-relative:page;" filled="f" stroked="t" coordsize="21600,21600" o:gfxdata="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iM3xHaAAAACwEAAA8AAAAAAAAA&#10;AQAgAAAAIgAAAGRycy9kb3ducmV2LnhtbFBLAQIUABQAAAAIAIdO4kBZdLdvgQIAAOEEAAAOAAAA&#10;AAAAAAEAIAAAACkBAABkcnMvZTJvRG9jLnhtbFBLBQYAAAAABgAGAFkBAAAcBgAAAAA=&#10;">
                <v:fill on="f" focussize="0,0"/>
                <v:stroke weight="1pt" color="#ED7D31 [3205]" miterlimit="8" joinstyle="miter"/>
                <v:imagedata o:title=""/>
                <o:lock v:ext="edit" aspectratio="f"/>
                <v:textbox>
                  <w:txbxContent>
                    <w:p w14:paraId="4A63F34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：宋体，小四，行距固定20磅</w:t>
                      </w:r>
                    </w:p>
                  </w:txbxContent>
                </v:textbox>
              </v:shape>
            </w:pict>
          </mc:Fallback>
        </mc:AlternateContent>
      </w:r>
      <w:r>
        <w:rPr>
          <w:rFonts w:hint="eastAsia" w:asciiTheme="minorEastAsia" w:hAnsiTheme="minorEastAsia" w:eastAsiaTheme="minorEastAsia" w:cstheme="minorEastAsia"/>
          <w:color w:val="auto"/>
          <w:kern w:val="2"/>
          <w:szCs w:val="24"/>
          <w:highlight w:val="none"/>
        </w:rPr>
        <w:t>天然花岗石坚固耐用、取材方便，广泛用作建筑装饰材料。我国石材资源丰富，开采历史悠久。石材加工业是我国改革开放以来建材行业增长速度最快的产业领域，经过近十几年的飞速发展，目前在产量上已跃居世界第一位，并已成为全球石材加工市场的主导国家之一。</w:t>
      </w:r>
    </w:p>
    <w:p w14:paraId="246B7EAB">
      <w:pPr>
        <w:pStyle w:val="20"/>
        <w:keepNext w:val="0"/>
        <w:keepLines w:val="0"/>
        <w:pageBreakBefore w:val="0"/>
        <w:widowControl w:val="0"/>
        <w:kinsoku/>
        <w:wordWrap/>
        <w:overflowPunct/>
        <w:topLinePunct w:val="0"/>
        <w:autoSpaceDE/>
        <w:autoSpaceDN/>
        <w:bidi w:val="0"/>
        <w:snapToGrid/>
        <w:spacing w:line="360" w:lineRule="auto"/>
        <w:ind w:firstLine="480" w:firstLineChars="200"/>
        <w:rPr>
          <w:color w:val="auto"/>
          <w:spacing w:val="0"/>
          <w:highlight w:val="none"/>
        </w:rPr>
      </w:pPr>
      <w:r>
        <w:rPr>
          <w:rFonts w:hint="eastAsia"/>
          <w:color w:val="auto"/>
          <w:spacing w:val="0"/>
          <w:highlight w:val="none"/>
        </w:rPr>
        <w:t>……</w:t>
      </w:r>
    </w:p>
    <w:p w14:paraId="3586CEB5">
      <w:pPr>
        <w:pStyle w:val="20"/>
        <w:widowControl w:val="0"/>
        <w:spacing w:line="400" w:lineRule="exact"/>
        <w:ind w:firstLine="0" w:firstLineChars="0"/>
        <w:rPr>
          <w:color w:val="auto"/>
          <w:spacing w:val="0"/>
          <w:highlight w:val="none"/>
        </w:rPr>
      </w:pPr>
    </w:p>
    <w:p w14:paraId="54B7DB5F">
      <w:pPr>
        <w:pStyle w:val="20"/>
        <w:widowControl w:val="0"/>
        <w:spacing w:line="400" w:lineRule="exact"/>
        <w:ind w:left="1048" w:hanging="1047" w:hangingChars="403"/>
        <w:rPr>
          <w:rFonts w:hint="eastAsia" w:ascii="宋体" w:hAnsi="宋体" w:eastAsia="宋体" w:cs="宋体"/>
          <w:color w:val="auto"/>
          <w:highlight w:val="none"/>
        </w:rPr>
        <w:sectPr>
          <w:footerReference r:id="rId8" w:type="default"/>
          <w:pgSz w:w="11906" w:h="16838"/>
          <w:pgMar w:top="1701" w:right="1134" w:bottom="1417" w:left="1417" w:header="907" w:footer="850" w:gutter="283"/>
          <w:pgNumType w:fmt="numberInDash" w:start="1"/>
          <w:cols w:space="0" w:num="1"/>
          <w:docGrid w:type="lines" w:linePitch="312" w:charSpace="0"/>
        </w:sectPr>
      </w:pPr>
      <w:r>
        <w:rPr>
          <w:rFonts w:hint="eastAsia" w:ascii="黑体" w:eastAsia="黑体"/>
          <w:color w:val="auto"/>
          <w:highlight w:val="none"/>
        </w:rPr>
        <w:t>关键词：</w:t>
      </w:r>
      <w:r>
        <w:rPr>
          <w:rFonts w:hint="eastAsia" w:ascii="宋体" w:hAnsi="宋体" w:eastAsia="宋体" w:cs="宋体"/>
          <w:color w:val="auto"/>
          <w:highlight w:val="none"/>
        </w:rPr>
        <w:t>花岗石  金刚石  大切深锯切  锯切力  锯切比能</w:t>
      </w:r>
    </w:p>
    <w:p w14:paraId="3EB252F4">
      <w:pPr>
        <w:pStyle w:val="20"/>
        <w:widowControl w:val="0"/>
        <w:spacing w:line="400" w:lineRule="exact"/>
        <w:ind w:left="1048" w:hanging="1370" w:hangingChars="403"/>
        <w:rPr>
          <w:rFonts w:hint="eastAsia" w:ascii="宋体" w:hAnsi="宋体" w:eastAsia="宋体" w:cs="宋体"/>
          <w:color w:val="auto"/>
          <w:highlight w:val="none"/>
        </w:rPr>
      </w:pPr>
      <w:r>
        <w:rPr>
          <w:color w:val="auto"/>
          <w:sz w:val="32"/>
          <w:highlight w:val="none"/>
        </w:rPr>
        <mc:AlternateContent>
          <mc:Choice Requires="wps">
            <w:drawing>
              <wp:anchor distT="0" distB="0" distL="114300" distR="114300" simplePos="0" relativeHeight="251679744" behindDoc="0" locked="0" layoutInCell="1" allowOverlap="1">
                <wp:simplePos x="0" y="0"/>
                <wp:positionH relativeFrom="column">
                  <wp:posOffset>2962275</wp:posOffset>
                </wp:positionH>
                <wp:positionV relativeFrom="paragraph">
                  <wp:posOffset>147320</wp:posOffset>
                </wp:positionV>
                <wp:extent cx="3217545" cy="516255"/>
                <wp:effectExtent l="6350" t="6350" r="14605" b="10795"/>
                <wp:wrapNone/>
                <wp:docPr id="10" name="文本框 10"/>
                <wp:cNvGraphicFramePr/>
                <a:graphic xmlns:a="http://schemas.openxmlformats.org/drawingml/2006/main">
                  <a:graphicData uri="http://schemas.microsoft.com/office/word/2010/wordprocessingShape">
                    <wps:wsp>
                      <wps:cNvSpPr txBox="1"/>
                      <wps:spPr>
                        <a:xfrm>
                          <a:off x="0" y="0"/>
                          <a:ext cx="3217545" cy="5162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25pt;margin-top:11.6pt;height:40.65pt;width:253.35pt;z-index:251679744;mso-width-relative:page;mso-height-relative:page;" filled="f" stroked="t" coordsize="21600,21600" o:gfxdata="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E0ocjZAAAACgEAAA8AAAAAAAAAAQAg&#10;AAAAIgAAAGRycy9kb3ducmV2LnhtbFBLAQIUABQAAAAIAIdO4kCsVonUfwIAAOMEAAAOAAAAAAAA&#10;AAEAIAAAACgBAABkcnMvZTJvRG9jLnhtbFBLBQYAAAAABgAGAFkBAAAZBgAAAAA=&#10;">
                <v:fill on="f" focussize="0,0"/>
                <v:stroke weight="1pt" color="#ED7D31 [3205]" miterlimit="8" joinstyle="miter"/>
                <v:imagedata o:title=""/>
                <o:lock v:ext="edit" aspectratio="f"/>
                <v:textbox>
                  <w:txbxContent>
                    <w:p w14:paraId="168826EC">
                      <w:pPr>
                        <w:rPr>
                          <w:rFonts w:hint="eastAsia" w:ascii="黑体" w:hAnsi="黑体" w:eastAsia="黑体" w:cs="黑体"/>
                          <w:color w:val="FF0000"/>
                          <w:sz w:val="24"/>
                          <w:szCs w:val="24"/>
                          <w:lang w:val="en-US"/>
                        </w:rPr>
                      </w:pPr>
                      <w:r>
                        <w:rPr>
                          <w:rFonts w:hint="eastAsia" w:ascii="黑体" w:hAnsi="黑体" w:eastAsia="黑体" w:cs="黑体"/>
                          <w:color w:val="FF0000"/>
                          <w:sz w:val="24"/>
                          <w:szCs w:val="24"/>
                          <w:lang w:val="en-US"/>
                        </w:rPr>
                        <w:t>关键词：黑体，小四</w:t>
                      </w:r>
                    </w:p>
                    <w:p w14:paraId="5167A5F2">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：宋体，小四，行距固定20磅</w:t>
                      </w:r>
                    </w:p>
                  </w:txbxContent>
                </v:textbox>
              </v:shape>
            </w:pict>
          </mc:Fallback>
        </mc:AlternateContent>
      </w:r>
    </w:p>
    <w:p w14:paraId="1A69CCAF">
      <w:pPr>
        <w:pStyle w:val="12"/>
        <w:widowControl/>
        <w:spacing w:beforeAutospacing="0" w:afterAutospacing="0" w:line="420" w:lineRule="atLeast"/>
        <w:ind w:firstLine="480" w:firstLineChars="200"/>
        <w:jc w:val="both"/>
        <w:rPr>
          <w:rFonts w:ascii="宋体" w:hAnsi="宋体" w:cs="宋体"/>
          <w:color w:val="auto"/>
          <w:kern w:val="2"/>
          <w:szCs w:val="24"/>
          <w:highlight w:val="none"/>
        </w:rPr>
      </w:pPr>
    </w:p>
    <w:p w14:paraId="4DCB8043">
      <w:pPr>
        <w:pStyle w:val="12"/>
        <w:widowControl/>
        <w:spacing w:beforeAutospacing="0" w:afterAutospacing="0" w:line="420" w:lineRule="atLeast"/>
        <w:ind w:firstLine="480" w:firstLineChars="200"/>
        <w:jc w:val="both"/>
        <w:rPr>
          <w:rFonts w:ascii="宋体" w:hAnsi="宋体" w:cs="宋体"/>
          <w:color w:val="auto"/>
          <w:kern w:val="2"/>
          <w:szCs w:val="24"/>
          <w:highlight w:val="none"/>
        </w:rPr>
      </w:pPr>
    </w:p>
    <w:p w14:paraId="5EAAF657">
      <w:pPr>
        <w:widowControl w:val="0"/>
        <w:autoSpaceDE/>
        <w:autoSpaceDN/>
        <w:spacing w:before="480" w:line="240" w:lineRule="auto"/>
        <w:ind w:firstLine="640"/>
        <w:rPr>
          <w:rFonts w:hint="eastAsia" w:eastAsia="黑体" w:cs="Arial"/>
          <w:b/>
          <w:color w:val="auto"/>
          <w:sz w:val="32"/>
          <w:szCs w:val="32"/>
          <w:highlight w:val="none"/>
          <w:lang w:val="en-US" w:eastAsia="zh-CN" w:bidi="ar-SA"/>
        </w:rPr>
        <w:sectPr>
          <w:footerReference r:id="rId9" w:type="default"/>
          <w:type w:val="continuous"/>
          <w:pgSz w:w="11906" w:h="16838"/>
          <w:pgMar w:top="1701" w:right="1134" w:bottom="1417" w:left="1417" w:header="907" w:footer="850" w:gutter="283"/>
          <w:pgNumType w:fmt="numberInDash"/>
          <w:cols w:space="0" w:num="1"/>
          <w:docGrid w:type="lines" w:linePitch="312" w:charSpace="0"/>
        </w:sectPr>
      </w:pPr>
      <w:r>
        <w:rPr>
          <w:rFonts w:hint="eastAsia" w:cs="Arial"/>
          <w:b/>
          <w:color w:val="auto"/>
          <w:sz w:val="32"/>
          <w:szCs w:val="32"/>
          <w:highlight w:val="none"/>
          <w:lang w:val="en-US" w:eastAsia="zh-CN" w:bidi="ar-SA"/>
        </w:rPr>
        <w:t xml:space="preserve"> </w:t>
      </w:r>
    </w:p>
    <w:p w14:paraId="60C31C55">
      <w:pPr>
        <w:widowControl w:val="0"/>
        <w:autoSpaceDE/>
        <w:autoSpaceDN/>
        <w:spacing w:before="480" w:line="240" w:lineRule="auto"/>
        <w:rPr>
          <w:rFonts w:hint="default" w:ascii="Times New Roman" w:hAnsi="Times New Roman" w:cs="Times New Roman"/>
          <w:b/>
          <w:color w:val="auto"/>
          <w:sz w:val="32"/>
          <w:szCs w:val="32"/>
          <w:highlight w:val="none"/>
          <w:lang w:val="en-US" w:bidi="ar-SA"/>
        </w:rPr>
      </w:pPr>
      <w:r>
        <w:rPr>
          <w:rFonts w:hint="default" w:ascii="Times New Roman" w:hAnsi="Times New Roman" w:cs="Times New Roman"/>
          <w:b/>
          <w:color w:val="auto"/>
          <w:sz w:val="32"/>
          <w:szCs w:val="32"/>
          <w:highlight w:val="none"/>
          <w:lang w:val="en-US" w:bidi="ar-SA"/>
        </w:rPr>
        <w:t>Abstract</w:t>
      </w:r>
      <w:r>
        <w:rPr>
          <w:rFonts w:hint="default" w:ascii="Times New Roman" w:hAnsi="Times New Roman" w:cs="Times New Roman"/>
          <w:color w:val="auto"/>
          <w:sz w:val="32"/>
          <w:highlight w:val="none"/>
        </w:rPr>
        <mc:AlternateContent>
          <mc:Choice Requires="wps">
            <w:drawing>
              <wp:anchor distT="0" distB="0" distL="114300" distR="114300" simplePos="0" relativeHeight="251680768" behindDoc="0" locked="0" layoutInCell="1" allowOverlap="1">
                <wp:simplePos x="0" y="0"/>
                <wp:positionH relativeFrom="column">
                  <wp:posOffset>3315970</wp:posOffset>
                </wp:positionH>
                <wp:positionV relativeFrom="paragraph">
                  <wp:posOffset>139065</wp:posOffset>
                </wp:positionV>
                <wp:extent cx="2914650" cy="487045"/>
                <wp:effectExtent l="6350" t="6350" r="12700" b="20955"/>
                <wp:wrapNone/>
                <wp:docPr id="38" name="文本框 38"/>
                <wp:cNvGraphicFramePr/>
                <a:graphic xmlns:a="http://schemas.openxmlformats.org/drawingml/2006/main">
                  <a:graphicData uri="http://schemas.microsoft.com/office/word/2010/wordprocessingShape">
                    <wps:wsp>
                      <wps:cNvSpPr txBox="1"/>
                      <wps:spPr>
                        <a:xfrm>
                          <a:off x="0" y="0"/>
                          <a:ext cx="29146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1pt;margin-top:10.95pt;height:38.35pt;width:229.5pt;z-index:251680768;mso-width-relative:page;mso-height-relative:page;" filled="f" stroked="t" coordsize="21600,21600" o:gfxdata="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IaYpf1wAAAAkBAAAPAAAAAAAAAAEAIAAA&#10;ACIAAABkcnMvZG93bnJldi54bWxQSwECFAAUAAAACACHTuJAB7NwFH8CAADjBAAADgAAAAAAAAAB&#10;ACAAAAAmAQAAZHJzL2Uyb0RvYy54bWxQSwUGAAAAAAYABgBZAQAAFwYAAAAA&#10;">
                <v:fill on="f" focussize="0,0"/>
                <v:stroke weight="1pt" color="#ED7D31 [3205]" miterlimit="8" joinstyle="miter"/>
                <v:imagedata o:title=""/>
                <o:lock v:ext="edit" aspectratio="f"/>
                <v:textbox>
                  <w:txbxContent>
                    <w:p w14:paraId="35A3D125">
                      <w:pPr>
                        <w:rPr>
                          <w:sz w:val="20"/>
                          <w:szCs w:val="20"/>
                          <w:lang w:val="en-US"/>
                        </w:rPr>
                      </w:pPr>
                      <w:r>
                        <w:rPr>
                          <w:rFonts w:hint="eastAsia" w:ascii="黑体" w:hAnsi="黑体" w:eastAsia="黑体" w:cs="黑体"/>
                          <w:color w:val="FF0000"/>
                          <w:sz w:val="24"/>
                          <w:szCs w:val="24"/>
                          <w:lang w:val="en-US" w:eastAsia="zh-CN"/>
                        </w:rPr>
                        <w:t>题目：</w:t>
                      </w:r>
                      <w:r>
                        <w:rPr>
                          <w:rFonts w:hint="eastAsia" w:ascii="黑体" w:hAnsi="黑体" w:eastAsia="黑体" w:cs="黑体"/>
                          <w:color w:val="FF0000"/>
                          <w:sz w:val="24"/>
                          <w:szCs w:val="24"/>
                          <w:lang w:val="en-US"/>
                        </w:rPr>
                        <w:t>Times New Roman，三号，</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居中，段前24磅，段后18磅，单倍行距</w:t>
                      </w:r>
                    </w:p>
                  </w:txbxContent>
                </v:textbox>
              </v:shape>
            </w:pict>
          </mc:Fallback>
        </mc:AlternateContent>
      </w:r>
    </w:p>
    <w:p w14:paraId="00478C9F">
      <w:pPr>
        <w:pStyle w:val="20"/>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hint="default" w:ascii="Times New Roman" w:hAnsi="Times New Roman" w:eastAsia="宋体" w:cs="Times New Roman"/>
          <w:color w:val="auto"/>
          <w:sz w:val="24"/>
          <w:szCs w:val="24"/>
          <w:highlight w:val="none"/>
          <w:lang w:val="en-US" w:bidi="ar-SA"/>
        </w:rPr>
      </w:pPr>
      <w:r>
        <w:rPr>
          <w:rFonts w:hint="default" w:ascii="Times New Roman" w:hAnsi="Times New Roman" w:cs="Times New Roman"/>
          <w:color w:val="auto"/>
          <w:sz w:val="24"/>
          <w:szCs w:val="24"/>
          <w:highlight w:val="none"/>
        </w:rPr>
        <mc:AlternateContent>
          <mc:Choice Requires="wps">
            <w:drawing>
              <wp:anchor distT="0" distB="0" distL="114300" distR="114300" simplePos="0" relativeHeight="251682816" behindDoc="0" locked="0" layoutInCell="1" allowOverlap="1">
                <wp:simplePos x="0" y="0"/>
                <wp:positionH relativeFrom="column">
                  <wp:posOffset>3914775</wp:posOffset>
                </wp:positionH>
                <wp:positionV relativeFrom="paragraph">
                  <wp:posOffset>1635760</wp:posOffset>
                </wp:positionV>
                <wp:extent cx="2241550" cy="487045"/>
                <wp:effectExtent l="6350" t="6350" r="19050" b="20955"/>
                <wp:wrapNone/>
                <wp:docPr id="39" name="文本框 39"/>
                <wp:cNvGraphicFramePr/>
                <a:graphic xmlns:a="http://schemas.openxmlformats.org/drawingml/2006/main">
                  <a:graphicData uri="http://schemas.microsoft.com/office/word/2010/wordprocessingShape">
                    <wps:wsp>
                      <wps:cNvSpPr txBox="1"/>
                      <wps:spPr>
                        <a:xfrm>
                          <a:off x="0" y="0"/>
                          <a:ext cx="2241550" cy="4870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25pt;margin-top:128.8pt;height:38.35pt;width:176.5pt;z-index:251682816;mso-width-relative:page;mso-height-relative:page;" filled="f" stroked="t" coordsize="21600,21600" o:gfxdata="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cmnT2gAAAAsBAAAPAAAAAAAAAAEA&#10;IAAAACIAAABkcnMvZG93bnJldi54bWxQSwECFAAUAAAACACHTuJAKVkW2n8CAADjBAAADgAAAAAA&#10;AAABACAAAAApAQAAZHJzL2Uyb0RvYy54bWxQSwUGAAAAAAYABgBZAQAAGgYAAAAA&#10;">
                <v:fill on="f" focussize="0,0"/>
                <v:stroke weight="1pt" color="#ED7D31 [3205]" miterlimit="8" joinstyle="miter"/>
                <v:imagedata o:title=""/>
                <o:lock v:ext="edit" aspectratio="f"/>
                <v:textbox>
                  <w:txbxContent>
                    <w:p w14:paraId="29DF5E08">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摘要内容：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hint="default" w:ascii="Times New Roman" w:hAnsi="Times New Roman" w:cs="Times New Roman"/>
          <w:color w:val="auto"/>
          <w:sz w:val="32"/>
          <w:highlight w:val="none"/>
        </w:rPr>
        <mc:AlternateContent>
          <mc:Choice Requires="wps">
            <w:drawing>
              <wp:anchor distT="0" distB="0" distL="114300" distR="114300" simplePos="0" relativeHeight="251681792" behindDoc="0" locked="0" layoutInCell="1" allowOverlap="1">
                <wp:simplePos x="0" y="0"/>
                <wp:positionH relativeFrom="column">
                  <wp:posOffset>-890905</wp:posOffset>
                </wp:positionH>
                <wp:positionV relativeFrom="paragraph">
                  <wp:posOffset>120650</wp:posOffset>
                </wp:positionV>
                <wp:extent cx="3782060" cy="295275"/>
                <wp:effectExtent l="6350" t="6350" r="21590" b="22225"/>
                <wp:wrapNone/>
                <wp:docPr id="12" name="文本框 12"/>
                <wp:cNvGraphicFramePr/>
                <a:graphic xmlns:a="http://schemas.openxmlformats.org/drawingml/2006/main">
                  <a:graphicData uri="http://schemas.microsoft.com/office/word/2010/wordprocessingShape">
                    <wps:wsp>
                      <wps:cNvSpPr txBox="1"/>
                      <wps:spPr>
                        <a:xfrm>
                          <a:off x="0" y="0"/>
                          <a:ext cx="3782060" cy="29527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5pt;margin-top:9.5pt;height:23.25pt;width:297.8pt;z-index:251681792;mso-width-relative:page;mso-height-relative:page;" filled="f" stroked="t" coordsize="21600,21600" o:gfxdata="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llKEz2AAAAAoBAAAPAAAAAAAAAAEAIAAA&#10;ACIAAABkcnMvZG93bnJldi54bWxQSwECFAAUAAAACACHTuJAkOv8fX4CAADjBAAADgAAAAAAAAAB&#10;ACAAAAAnAQAAZHJzL2Uyb0RvYy54bWxQSwUGAAAAAAYABgBZAQAAFwYAAAAA&#10;">
                <v:fill on="f" focussize="0,0"/>
                <v:stroke weight="1pt" color="#ED7D31 [3205]" miterlimit="8" joinstyle="miter"/>
                <v:imagedata o:title=""/>
                <o:lock v:ext="edit" aspectratio="f"/>
                <v:textbox>
                  <w:txbxContent>
                    <w:p w14:paraId="3CE72765">
                      <w:pPr>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lang w:val="en-US" w:eastAsia="zh-CN"/>
                        </w:rPr>
                        <w:t>英文摘要和关键词根据中文摘要进行对照翻译</w:t>
                      </w:r>
                    </w:p>
                  </w:txbxContent>
                </v:textbox>
              </v:shape>
            </w:pict>
          </mc:Fallback>
        </mc:AlternateContent>
      </w:r>
      <w:r>
        <w:rPr>
          <w:rFonts w:hint="default" w:ascii="Times New Roman" w:hAnsi="Times New Roman" w:eastAsia="宋体" w:cs="Times New Roman"/>
          <w:color w:val="auto"/>
          <w:sz w:val="24"/>
          <w:szCs w:val="24"/>
          <w:highlight w:val="none"/>
          <w:lang w:val="en-US" w:bidi="ar-SA"/>
        </w:rPr>
        <w:t>The natural granite is durable and easy to use, which is widely used as building decoration materials. China is rich in stone resources and has a long history of exploitation. Stone processing industry is the fastest growing industry of building materials industry since China's reform and opening up. After nearly ten years of rapid development, it has leaped to the first place in the world in terms of output and has become one of the leading countries in the global stone processing market.</w:t>
      </w:r>
    </w:p>
    <w:p w14:paraId="1A761BE8">
      <w:pPr>
        <w:pStyle w:val="20"/>
        <w:keepNext w:val="0"/>
        <w:keepLines w:val="0"/>
        <w:pageBreakBefore w:val="0"/>
        <w:widowControl w:val="0"/>
        <w:kinsoku/>
        <w:wordWrap/>
        <w:overflowPunct/>
        <w:topLinePunct w:val="0"/>
        <w:autoSpaceDE/>
        <w:autoSpaceDN/>
        <w:bidi w:val="0"/>
        <w:adjustRightInd w:val="0"/>
        <w:snapToGrid/>
        <w:spacing w:line="360" w:lineRule="auto"/>
        <w:ind w:firstLine="520" w:firstLineChars="200"/>
        <w:jc w:val="both"/>
        <w:textAlignment w:val="baseline"/>
        <w:rPr>
          <w:rFonts w:ascii="Times New Roman" w:hAnsi="Times New Roman" w:eastAsia="宋体" w:cs="Times New Roman"/>
          <w:color w:val="auto"/>
          <w:highlight w:val="none"/>
          <w:lang w:val="en-US" w:bidi="ar-SA"/>
        </w:rPr>
      </w:pPr>
      <w:r>
        <w:rPr>
          <w:rFonts w:hint="default" w:ascii="Times New Roman" w:hAnsi="Times New Roman" w:eastAsia="宋体" w:cs="Times New Roman"/>
          <w:color w:val="auto"/>
          <w:sz w:val="24"/>
          <w:szCs w:val="24"/>
          <w:highlight w:val="none"/>
          <w:lang w:val="en-US" w:bidi="ar-SA"/>
        </w:rPr>
        <w:t>……</w:t>
      </w:r>
    </w:p>
    <w:p w14:paraId="5344F242">
      <w:pPr>
        <w:pStyle w:val="20"/>
        <w:widowControl w:val="0"/>
        <w:spacing w:line="400" w:lineRule="exact"/>
        <w:ind w:firstLine="0" w:firstLineChars="0"/>
        <w:rPr>
          <w:color w:val="auto"/>
          <w:highlight w:val="none"/>
          <w:lang w:val="en-US"/>
        </w:rPr>
      </w:pPr>
    </w:p>
    <w:p w14:paraId="27E33246">
      <w:pPr>
        <w:pStyle w:val="20"/>
        <w:widowControl w:val="0"/>
        <w:spacing w:line="400" w:lineRule="exact"/>
        <w:ind w:left="1357" w:hanging="1352" w:hangingChars="520"/>
        <w:rPr>
          <w:color w:val="auto"/>
          <w:highlight w:val="none"/>
          <w:lang w:val="en-US"/>
        </w:rPr>
      </w:pPr>
      <w:r>
        <w:rPr>
          <w:rFonts w:hint="eastAsia" w:ascii="Times New Roman" w:hAnsi="Times New Roman" w:eastAsia="宋体" w:cs="Times New Roman"/>
          <w:color w:val="auto"/>
          <w:highlight w:val="none"/>
          <w:lang w:val="en-US" w:bidi="ar-SA"/>
        </w:rPr>
        <mc:AlternateContent>
          <mc:Choice Requires="wps">
            <w:drawing>
              <wp:anchor distT="0" distB="0" distL="114300" distR="114300" simplePos="0" relativeHeight="251683840" behindDoc="0" locked="0" layoutInCell="1" allowOverlap="1">
                <wp:simplePos x="0" y="0"/>
                <wp:positionH relativeFrom="column">
                  <wp:posOffset>1440815</wp:posOffset>
                </wp:positionH>
                <wp:positionV relativeFrom="paragraph">
                  <wp:posOffset>397510</wp:posOffset>
                </wp:positionV>
                <wp:extent cx="3504565" cy="513715"/>
                <wp:effectExtent l="6350" t="6350" r="13335" b="13335"/>
                <wp:wrapNone/>
                <wp:docPr id="40" name="文本框 40"/>
                <wp:cNvGraphicFramePr/>
                <a:graphic xmlns:a="http://schemas.openxmlformats.org/drawingml/2006/main">
                  <a:graphicData uri="http://schemas.microsoft.com/office/word/2010/wordprocessingShape">
                    <wps:wsp>
                      <wps:cNvSpPr txBox="1"/>
                      <wps:spPr>
                        <a:xfrm>
                          <a:off x="0" y="0"/>
                          <a:ext cx="3504565" cy="51371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45pt;margin-top:31.3pt;height:40.45pt;width:275.95pt;z-index:251683840;mso-width-relative:page;mso-height-relative:page;" filled="f" stroked="t" coordsize="21600,21600" o:gfxdata="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6JvFh2QAAAAoBAAAPAAAAAAAAAAEA&#10;IAAAACIAAABkcnMvZG93bnJldi54bWxQSwECFAAUAAAACACHTuJAsZLpCIACAADjBAAADgAAAAAA&#10;AAABACAAAAAoAQAAZHJzL2Uyb0RvYy54bWxQSwUGAAAAAAYABgBZAQAAGgYAAAAA&#10;">
                <v:fill on="f" focussize="0,0"/>
                <v:stroke weight="1pt" color="#ED7D31 [3205]" miterlimit="8" joinstyle="miter"/>
                <v:imagedata o:title=""/>
                <o:lock v:ext="edit" aspectratio="f"/>
                <v:textbox>
                  <w:txbxContent>
                    <w:p w14:paraId="1EF18339">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Keywords：Times New Roman，小四</w:t>
                      </w:r>
                      <w:r>
                        <w:rPr>
                          <w:rFonts w:hint="eastAsia" w:ascii="黑体" w:hAnsi="黑体" w:eastAsia="黑体" w:cs="黑体"/>
                          <w:color w:val="FF0000"/>
                          <w:sz w:val="24"/>
                          <w:szCs w:val="24"/>
                          <w:lang w:val="en-US" w:eastAsia="zh-CN"/>
                        </w:rPr>
                        <w:t>，加粗</w:t>
                      </w:r>
                    </w:p>
                    <w:p w14:paraId="62BA718C">
                      <w:pPr>
                        <w:rPr>
                          <w:rFonts w:ascii="黑体" w:hAnsi="黑体" w:eastAsia="黑体" w:cs="黑体"/>
                          <w:color w:val="FF0000"/>
                          <w:sz w:val="24"/>
                          <w:szCs w:val="24"/>
                          <w:lang w:val="en-US"/>
                        </w:rPr>
                      </w:pPr>
                      <w:r>
                        <w:rPr>
                          <w:rFonts w:hint="eastAsia" w:ascii="黑体" w:hAnsi="黑体" w:eastAsia="黑体" w:cs="黑体"/>
                          <w:color w:val="FF0000"/>
                          <w:sz w:val="24"/>
                          <w:szCs w:val="24"/>
                          <w:lang w:val="en-US" w:eastAsia="zh-CN"/>
                        </w:rPr>
                        <w:t>关键词内容</w:t>
                      </w:r>
                      <w:r>
                        <w:rPr>
                          <w:rFonts w:hint="eastAsia" w:ascii="黑体" w:hAnsi="黑体" w:eastAsia="黑体" w:cs="黑体"/>
                          <w:color w:val="FF0000"/>
                          <w:sz w:val="24"/>
                          <w:szCs w:val="24"/>
                          <w:lang w:val="en-US"/>
                        </w:rPr>
                        <w:t>：Times New Roman，小四，行距固定20磅</w:t>
                      </w:r>
                    </w:p>
                  </w:txbxContent>
                </v:textbox>
              </v:shape>
            </w:pict>
          </mc:Fallback>
        </mc:AlternateContent>
      </w:r>
      <w:r>
        <w:rPr>
          <w:rFonts w:ascii="Times New Roman" w:hAnsi="Times New Roman" w:cs="Times New Roman"/>
          <w:b/>
          <w:color w:val="auto"/>
          <w:highlight w:val="none"/>
          <w:lang w:val="en-US"/>
        </w:rPr>
        <w:t>Keywords:</w:t>
      </w:r>
      <w:r>
        <w:rPr>
          <w:rFonts w:hint="eastAsia" w:ascii="Times New Roman" w:hAnsi="Times New Roman" w:eastAsia="宋体" w:cs="Times New Roman"/>
          <w:color w:val="auto"/>
          <w:highlight w:val="none"/>
          <w:lang w:val="en-US" w:bidi="ar-SA"/>
        </w:rPr>
        <w:t>Granite</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Diamond</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Deep sawing</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forces</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Sawing specific</w:t>
      </w:r>
      <w:r>
        <w:rPr>
          <w:rFonts w:hint="eastAsia" w:ascii="Times New Roman" w:hAnsi="Times New Roman" w:eastAsia="宋体" w:cs="Times New Roman"/>
          <w:color w:val="auto"/>
          <w:highlight w:val="none"/>
          <w:lang w:val="en-US" w:eastAsia="zh-CN" w:bidi="ar-SA"/>
        </w:rPr>
        <w:t xml:space="preserve"> </w:t>
      </w:r>
      <w:r>
        <w:rPr>
          <w:rFonts w:hint="eastAsia" w:ascii="Times New Roman" w:hAnsi="Times New Roman" w:eastAsia="宋体" w:cs="Times New Roman"/>
          <w:color w:val="auto"/>
          <w:highlight w:val="none"/>
          <w:lang w:val="en-US" w:bidi="ar-SA"/>
        </w:rPr>
        <w:t>energy</w:t>
      </w:r>
    </w:p>
    <w:p w14:paraId="6EBAEEC4">
      <w:pPr>
        <w:pStyle w:val="20"/>
        <w:widowControl w:val="0"/>
        <w:spacing w:line="400" w:lineRule="exact"/>
        <w:ind w:left="1352" w:hanging="1352" w:hangingChars="520"/>
        <w:rPr>
          <w:color w:val="auto"/>
          <w:highlight w:val="none"/>
          <w:lang w:val="en-US"/>
        </w:rPr>
      </w:pPr>
    </w:p>
    <w:p w14:paraId="427FB780">
      <w:pPr>
        <w:ind w:left="440" w:firstLine="440"/>
        <w:rPr>
          <w:color w:val="auto"/>
          <w:highlight w:val="none"/>
          <w:lang w:val="en-US"/>
        </w:rPr>
      </w:pPr>
    </w:p>
    <w:p w14:paraId="101AC57C">
      <w:pPr>
        <w:rPr>
          <w:rFonts w:ascii="宋体" w:hAnsi="宋体"/>
          <w:color w:val="auto"/>
          <w:sz w:val="24"/>
          <w:szCs w:val="24"/>
          <w:highlight w:val="none"/>
          <w:lang w:val="en-US"/>
        </w:rPr>
      </w:pPr>
    </w:p>
    <w:p w14:paraId="4310B0B2">
      <w:pPr>
        <w:spacing w:line="400" w:lineRule="exact"/>
        <w:jc w:val="center"/>
        <w:rPr>
          <w:rFonts w:hint="eastAsia" w:ascii="黑体" w:hAnsi="黑体" w:eastAsia="黑体" w:cs="黑体"/>
          <w:color w:val="auto"/>
          <w:sz w:val="30"/>
          <w:szCs w:val="30"/>
          <w:highlight w:val="none"/>
        </w:rPr>
        <w:sectPr>
          <w:footerReference r:id="rId10" w:type="default"/>
          <w:pgSz w:w="11906" w:h="16838"/>
          <w:pgMar w:top="1701" w:right="1134" w:bottom="1417" w:left="1417" w:header="907" w:footer="850" w:gutter="283"/>
          <w:pgNumType w:fmt="numberInDash" w:start="1"/>
          <w:cols w:space="0" w:num="1"/>
          <w:docGrid w:type="lines" w:linePitch="312" w:charSpace="0"/>
        </w:sectPr>
      </w:pPr>
    </w:p>
    <w:p w14:paraId="433E3F5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Ansi="Times New Roman"/>
          <w:color w:val="auto"/>
          <w:sz w:val="24"/>
          <w:szCs w:val="24"/>
          <w:highlight w:val="none"/>
        </w:rPr>
      </w:pPr>
      <w:r>
        <w:rPr>
          <w:color w:val="auto"/>
          <w:sz w:val="30"/>
          <w:szCs w:val="30"/>
          <w:highlight w:val="none"/>
        </w:rPr>
        <mc:AlternateContent>
          <mc:Choice Requires="wps">
            <w:drawing>
              <wp:anchor distT="0" distB="0" distL="114300" distR="114300" simplePos="0" relativeHeight="251663360" behindDoc="0" locked="0" layoutInCell="1" allowOverlap="1">
                <wp:simplePos x="0" y="0"/>
                <wp:positionH relativeFrom="column">
                  <wp:posOffset>3146425</wp:posOffset>
                </wp:positionH>
                <wp:positionV relativeFrom="paragraph">
                  <wp:posOffset>-635</wp:posOffset>
                </wp:positionV>
                <wp:extent cx="2711450" cy="318135"/>
                <wp:effectExtent l="6350" t="6350" r="6350" b="18415"/>
                <wp:wrapNone/>
                <wp:docPr id="42" name="文本框 42"/>
                <wp:cNvGraphicFramePr/>
                <a:graphic xmlns:a="http://schemas.openxmlformats.org/drawingml/2006/main">
                  <a:graphicData uri="http://schemas.microsoft.com/office/word/2010/wordprocessingShape">
                    <wps:wsp>
                      <wps:cNvSpPr txBox="1"/>
                      <wps:spPr>
                        <a:xfrm>
                          <a:off x="0" y="0"/>
                          <a:ext cx="2711450" cy="31813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0.05pt;height:25.05pt;width:213.5pt;z-index:251663360;mso-width-relative:page;mso-height-relative:page;" filled="f" stroked="t" coordsize="21600,21600" o:gfxdata="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adl6j1wAAAAgBAAAPAAAAAAAAAAEAIAAA&#10;ACIAAABkcnMvZG93bnJldi54bWxQSwECFAAUAAAACACHTuJA36T1Yn8CAADjBAAADgAAAAAAAAAB&#10;ACAAAAAmAQAAZHJzL2Uyb0RvYy54bWxQSwUGAAAAAAYABgBZAQAAFwYAAAAA&#10;">
                <v:fill on="f" focussize="0,0"/>
                <v:stroke weight="1pt" color="#ED7D31 [3205]" miterlimit="8" joinstyle="miter"/>
                <v:imagedata o:title=""/>
                <o:lock v:ext="edit" aspectratio="f"/>
                <v:textbox>
                  <w:txbxContent>
                    <w:p w14:paraId="3271335A">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黑体，小三，居中，行距固定20磅</w:t>
                      </w:r>
                    </w:p>
                  </w:txbxContent>
                </v:textbox>
              </v:shape>
            </w:pict>
          </mc:Fallback>
        </mc:AlternateContent>
      </w:r>
      <w:r>
        <w:rPr>
          <w:rFonts w:hint="eastAsia" w:ascii="黑体" w:hAnsi="黑体" w:eastAsia="黑体" w:cs="黑体"/>
          <w:color w:val="auto"/>
          <w:sz w:val="30"/>
          <w:szCs w:val="30"/>
          <w:highlight w:val="none"/>
        </w:rPr>
        <w:t>目  录</w:t>
      </w:r>
    </w:p>
    <w:p w14:paraId="30E0C6F4">
      <w:pPr>
        <w:pStyle w:val="9"/>
        <w:spacing w:line="400" w:lineRule="exact"/>
        <w:jc w:val="both"/>
        <w:rPr>
          <w:rStyle w:val="18"/>
          <w:rFonts w:hint="default" w:asciiTheme="minorEastAsia" w:hAnsiTheme="minorEastAsia" w:eastAsiaTheme="minorEastAsia" w:cstheme="minorEastAsia"/>
          <w:color w:val="auto"/>
          <w:sz w:val="24"/>
          <w:szCs w:val="24"/>
          <w:highlight w:val="none"/>
          <w:u w:val="none"/>
          <w:lang w:val="en-US" w:eastAsia="zh-CN"/>
        </w:rPr>
      </w:pPr>
      <w:r>
        <w:rPr>
          <w:rStyle w:val="18"/>
          <w:rFonts w:hint="eastAsia" w:asciiTheme="minorEastAsia" w:hAnsiTheme="minorEastAsia" w:eastAsiaTheme="minorEastAsia" w:cstheme="minorEastAsia"/>
          <w:color w:val="auto"/>
          <w:sz w:val="24"/>
          <w:szCs w:val="24"/>
          <w:highlight w:val="none"/>
          <w:u w:val="none"/>
          <w:lang w:val="en-US" w:eastAsia="zh-CN"/>
        </w:rPr>
        <w:t>绪论/引言</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 xml:space="preserve">  </w:t>
      </w:r>
    </w:p>
    <w:p w14:paraId="2A66FAD4">
      <w:pPr>
        <w:pStyle w:val="9"/>
        <w:spacing w:line="400" w:lineRule="exact"/>
        <w:jc w:val="both"/>
        <w:rPr>
          <w:rStyle w:val="18"/>
          <w:rFonts w:hint="eastAsia" w:asciiTheme="minorEastAsia" w:hAnsiTheme="minorEastAsia" w:eastAsiaTheme="minorEastAsia" w:cstheme="minorEastAsia"/>
          <w:color w:val="auto"/>
          <w:sz w:val="24"/>
          <w:szCs w:val="24"/>
          <w:highlight w:val="none"/>
          <w:u w:val="none"/>
        </w:rPr>
      </w:pPr>
      <w:r>
        <w:rPr>
          <w:rFonts w:hint="eastAsia" w:asciiTheme="minorEastAsia" w:hAnsiTheme="minorEastAsia" w:eastAsiaTheme="minorEastAsia" w:cstheme="minorEastAsia"/>
          <w:color w:val="auto"/>
          <w:sz w:val="24"/>
          <w:szCs w:val="24"/>
          <w:highlight w:val="none"/>
        </w:rPr>
        <mc:AlternateContent>
          <mc:Choice Requires="wps">
            <w:drawing>
              <wp:anchor distT="0" distB="0" distL="114300" distR="114300" simplePos="0" relativeHeight="251659264" behindDoc="0" locked="0" layoutInCell="1" allowOverlap="1">
                <wp:simplePos x="0" y="0"/>
                <wp:positionH relativeFrom="column">
                  <wp:posOffset>1781810</wp:posOffset>
                </wp:positionH>
                <wp:positionV relativeFrom="paragraph">
                  <wp:posOffset>329565</wp:posOffset>
                </wp:positionV>
                <wp:extent cx="2771775" cy="719455"/>
                <wp:effectExtent l="6350" t="6350" r="22225" b="17145"/>
                <wp:wrapNone/>
                <wp:docPr id="43" name="文本框 43"/>
                <wp:cNvGraphicFramePr/>
                <a:graphic xmlns:a="http://schemas.openxmlformats.org/drawingml/2006/main">
                  <a:graphicData uri="http://schemas.microsoft.com/office/word/2010/wordprocessingShape">
                    <wps:wsp>
                      <wps:cNvSpPr txBox="1"/>
                      <wps:spPr>
                        <a:xfrm>
                          <a:off x="0" y="0"/>
                          <a:ext cx="2771775" cy="71945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3pt;margin-top:25.95pt;height:56.65pt;width:218.25pt;z-index:251659264;mso-width-relative:page;mso-height-relative:page;" filled="f" stroked="t" coordsize="21600,21600" o:gfxdata="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4NfQ2QAAAAoBAAAPAAAAAAAAAAEA&#10;IAAAACIAAABkcnMvZG93bnJldi54bWxQSwECFAAUAAAACACHTuJANGOZx4ACAADjBAAADgAAAAAA&#10;AAABACAAAAAoAQAAZHJzL2Uyb0RvYy54bWxQSwUGAAAAAAYABgBZAQAAGgYAAAAA&#10;">
                <v:fill on="f" focussize="0,0"/>
                <v:stroke weight="1pt" color="#ED7D31 [3205]" miterlimit="8" joinstyle="miter"/>
                <v:imagedata o:title=""/>
                <o:lock v:ext="edit" aspectratio="f"/>
                <v:textbox>
                  <w:txbxContent>
                    <w:p w14:paraId="6362F1F6">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一级标题：宋体，小四，两端对齐，行距固定20磅</w:t>
                      </w:r>
                    </w:p>
                    <w:p w14:paraId="4745B3C9">
                      <w:pPr>
                        <w:ind w:left="0" w:leftChars="0" w:firstLine="0" w:firstLineChars="0"/>
                        <w:rPr>
                          <w:rFonts w:ascii="黑体" w:hAnsi="黑体" w:eastAsia="黑体" w:cs="黑体"/>
                          <w:color w:val="FF0000"/>
                          <w:sz w:val="24"/>
                          <w:szCs w:val="24"/>
                          <w:lang w:val="en-US"/>
                        </w:rPr>
                      </w:pPr>
                      <w:r>
                        <w:rPr>
                          <w:rFonts w:hint="eastAsia" w:ascii="黑体" w:hAnsi="黑体" w:eastAsia="黑体" w:cs="黑体"/>
                          <w:color w:val="FF0000"/>
                          <w:sz w:val="24"/>
                          <w:szCs w:val="24"/>
                          <w:lang w:val="en-US"/>
                        </w:rPr>
                        <w:t>二级标题，缩减1个字符</w:t>
                      </w:r>
                    </w:p>
                  </w:txbxContent>
                </v:textbox>
              </v:shape>
            </w:pict>
          </mc:Fallback>
        </mc:AlternateContent>
      </w:r>
      <w:r>
        <w:rPr>
          <w:rStyle w:val="18"/>
          <w:rFonts w:hint="eastAsia" w:asciiTheme="minorEastAsia" w:hAnsiTheme="minorEastAsia" w:eastAsiaTheme="minorEastAsia" w:cstheme="minorEastAsia"/>
          <w:color w:val="auto"/>
          <w:sz w:val="24"/>
          <w:szCs w:val="24"/>
          <w:highlight w:val="none"/>
          <w:u w:val="none"/>
        </w:rPr>
        <w:t>1</w:t>
      </w:r>
      <w:r>
        <w:rPr>
          <w:rStyle w:val="18"/>
          <w:rFonts w:hint="eastAsia" w:asciiTheme="minorEastAsia" w:hAnsiTheme="minorEastAsia" w:eastAsiaTheme="minorEastAsia" w:cstheme="minorEastAsia"/>
          <w:color w:val="auto"/>
          <w:sz w:val="24"/>
          <w:szCs w:val="24"/>
          <w:highlight w:val="none"/>
          <w:u w:val="none"/>
          <w:lang w:val="en-US" w:eastAsia="zh-CN"/>
        </w:rPr>
        <w:t xml:space="preserve"> 国内外现状</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529EA550">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1.1国内研究动态</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D052364">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1.2国外研究动态</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35B13FC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1.3研究的趋势</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27D5AB46">
      <w:pPr>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Fonts w:hint="eastAsia" w:asciiTheme="minorEastAsia" w:hAnsiTheme="minorEastAsia" w:eastAsiaTheme="minorEastAsia" w:cstheme="minorEastAsia"/>
          <w:color w:val="auto"/>
          <w:sz w:val="24"/>
          <w:szCs w:val="24"/>
          <w:highlight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06D42D">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2.1□□□□□□□□□□</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60AB49D5">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2.2□□□□□□□□□</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125A1B46">
      <w:pPr>
        <w:spacing w:line="400" w:lineRule="exact"/>
        <w:ind w:left="240" w:leftChars="100"/>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2.3□□□□□□□□□</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eastAsiaTheme="minorEastAsia" w:cstheme="minorEastAsia"/>
          <w:color w:val="auto"/>
          <w:sz w:val="24"/>
          <w:szCs w:val="24"/>
          <w:highlight w:val="none"/>
          <w:lang w:val="en-US"/>
        </w:rPr>
        <w:t>*</w:t>
      </w:r>
    </w:p>
    <w:p w14:paraId="08270DC2">
      <w:pPr>
        <w:spacing w:line="400" w:lineRule="exact"/>
        <w:rPr>
          <w:rStyle w:val="18"/>
          <w:rFonts w:hint="eastAsia" w:asciiTheme="minorEastAsia" w:hAnsiTheme="minorEastAsia" w:eastAsiaTheme="minorEastAsia" w:cstheme="minorEastAsia"/>
          <w:color w:val="auto"/>
          <w:sz w:val="24"/>
          <w:szCs w:val="24"/>
          <w:highlight w:val="none"/>
          <w:u w:val="none"/>
          <w:lang w:val="en-US"/>
        </w:rPr>
      </w:pPr>
      <w:r>
        <w:rPr>
          <w:rFonts w:hint="eastAsia" w:asciiTheme="minorEastAsia" w:hAnsiTheme="minorEastAsia" w:eastAsiaTheme="minorEastAsia" w:cstheme="minorEastAsia"/>
          <w:color w:val="auto"/>
          <w:sz w:val="24"/>
          <w:szCs w:val="24"/>
          <w:highlight w:val="none"/>
          <w:lang w:val="en-US"/>
        </w:rPr>
        <w:t>3</w:t>
      </w:r>
      <w:r>
        <w:rPr>
          <w:rFonts w:hint="eastAsia" w:asciiTheme="minorEastAsia" w:hAnsiTheme="minorEastAsia" w:eastAsiaTheme="minorEastAsia" w:cstheme="minorEastAsia"/>
          <w:color w:val="auto"/>
          <w:sz w:val="24"/>
          <w:szCs w:val="24"/>
          <w:highlight w:val="none"/>
          <w:lang w:val="en-US" w:eastAsia="zh-CN"/>
        </w:rPr>
        <w:t xml:space="preserve"> </w:t>
      </w:r>
      <w:r>
        <w:rPr>
          <w:rFonts w:hint="eastAsia" w:asciiTheme="minorEastAsia" w:hAnsiTheme="minorEastAsia" w:eastAsiaTheme="minorEastAsia" w:cstheme="minorEastAsia"/>
          <w:color w:val="auto"/>
          <w:sz w:val="24"/>
          <w:szCs w:val="24"/>
          <w:highlight w:val="none"/>
          <w:lang w:val="en-US"/>
        </w:rPr>
        <w:t>□□□□□□□□□□□</w:t>
      </w:r>
      <w:r>
        <w:rPr>
          <w:rStyle w:val="18"/>
          <w:rFonts w:hint="eastAsia" w:asciiTheme="minorEastAsia" w:hAnsiTheme="minorEastAsia" w:eastAsia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lang w:val="en-US"/>
        </w:rPr>
        <w:t>*</w:t>
      </w:r>
    </w:p>
    <w:p w14:paraId="07D09F72">
      <w:pPr>
        <w:spacing w:line="400" w:lineRule="exact"/>
        <w:ind w:left="440" w:firstLine="480"/>
        <w:jc w:val="center"/>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sz w:val="24"/>
          <w:szCs w:val="24"/>
          <w:highlight w:val="none"/>
          <w:lang w:val="en-US"/>
        </w:rPr>
        <w:t>……</w:t>
      </w:r>
    </w:p>
    <w:p w14:paraId="2B8C7CDC">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lang w:val="en-US"/>
        </w:rPr>
        <w:t>6</w:t>
      </w:r>
      <w:r>
        <w:rPr>
          <w:rStyle w:val="18"/>
          <w:rFonts w:hint="eastAsia" w:asciiTheme="minorEastAsia" w:hAnsiTheme="minorEastAsia" w:eastAsiaTheme="minorEastAsia" w:cstheme="minorEastAsia"/>
          <w:color w:val="auto"/>
          <w:sz w:val="24"/>
          <w:szCs w:val="24"/>
          <w:highlight w:val="none"/>
          <w:u w:val="none"/>
          <w:lang w:val="en-US" w:eastAsia="zh-CN"/>
        </w:rPr>
        <w:t xml:space="preserve"> </w:t>
      </w:r>
      <w:r>
        <w:rPr>
          <w:rStyle w:val="18"/>
          <w:rFonts w:hint="eastAsia" w:asciiTheme="minorEastAsia" w:hAnsiTheme="minorEastAsia" w:cstheme="minorEastAsia"/>
          <w:color w:val="auto"/>
          <w:sz w:val="24"/>
          <w:szCs w:val="24"/>
          <w:highlight w:val="none"/>
          <w:u w:val="none"/>
          <w:lang w:val="en-US" w:eastAsia="zh-CN"/>
        </w:rPr>
        <w:t>结论</w:t>
      </w:r>
      <w:r>
        <w:rPr>
          <w:rStyle w:val="18"/>
          <w:rFonts w:hint="eastAsia" w:asciiTheme="minorEastAsia" w:hAnsiTheme="minorEastAsia" w:eastAsiaTheme="minorEastAsia" w:cstheme="minorEastAsia"/>
          <w:color w:val="auto"/>
          <w:sz w:val="24"/>
          <w:szCs w:val="24"/>
          <w:highlight w:val="none"/>
          <w:u w:val="none"/>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7A64E931">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lang w:val="en-US"/>
        </w:rPr>
        <w:t>主要</w:t>
      </w:r>
      <w:r>
        <w:rPr>
          <w:rStyle w:val="18"/>
          <w:rFonts w:hint="eastAsia" w:asciiTheme="minorEastAsia" w:hAnsiTheme="minorEastAsia" w:eastAsiaTheme="minorEastAsia" w:cstheme="minorEastAsia"/>
          <w:color w:val="auto"/>
          <w:sz w:val="24"/>
          <w:szCs w:val="24"/>
          <w:highlight w:val="none"/>
          <w:u w:val="none"/>
        </w:rPr>
        <w:t xml:space="preserve">参考文献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1D3EFC04">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rPr>
        <w:t xml:space="preserve">致谢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04523180">
      <w:pPr>
        <w:spacing w:line="400" w:lineRule="exact"/>
        <w:rPr>
          <w:rStyle w:val="18"/>
          <w:rFonts w:hint="eastAsia" w:asciiTheme="minorEastAsia" w:hAnsiTheme="minorEastAsia" w:eastAsiaTheme="minorEastAsia" w:cstheme="minorEastAsia"/>
          <w:color w:val="auto"/>
          <w:sz w:val="24"/>
          <w:szCs w:val="24"/>
          <w:highlight w:val="none"/>
          <w:u w:val="none"/>
        </w:rPr>
      </w:pPr>
      <w:r>
        <w:rPr>
          <w:rStyle w:val="18"/>
          <w:rFonts w:hint="eastAsia" w:asciiTheme="minorEastAsia" w:hAnsiTheme="minorEastAsia" w:eastAsiaTheme="minorEastAsia" w:cstheme="minorEastAsia"/>
          <w:color w:val="auto"/>
          <w:sz w:val="24"/>
          <w:szCs w:val="24"/>
          <w:highlight w:val="none"/>
          <w:u w:val="none"/>
        </w:rPr>
        <w:t>附录A</w:t>
      </w:r>
      <w:r>
        <w:rPr>
          <w:rStyle w:val="18"/>
          <w:rFonts w:hint="eastAsia" w:asciiTheme="minorEastAsia" w:hAnsi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428CD492">
      <w:pPr>
        <w:spacing w:line="400" w:lineRule="exact"/>
        <w:rPr>
          <w:rStyle w:val="18"/>
          <w:rFonts w:hint="eastAsia" w:asciiTheme="minorEastAsia" w:hAnsiTheme="minorEastAsia" w:eastAsiaTheme="minorEastAsia" w:cstheme="minorEastAsia"/>
          <w:color w:val="auto"/>
          <w:sz w:val="24"/>
          <w:szCs w:val="24"/>
          <w:highlight w:val="none"/>
          <w:u w:val="none"/>
        </w:rPr>
        <w:sectPr>
          <w:headerReference r:id="rId12" w:type="first"/>
          <w:footerReference r:id="rId14" w:type="first"/>
          <w:headerReference r:id="rId11" w:type="default"/>
          <w:footerReference r:id="rId13" w:type="default"/>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r>
        <w:rPr>
          <w:rStyle w:val="18"/>
          <w:rFonts w:hint="eastAsia" w:asciiTheme="minorEastAsia" w:hAnsiTheme="minorEastAsia" w:eastAsiaTheme="minorEastAsia" w:cstheme="minorEastAsia"/>
          <w:color w:val="auto"/>
          <w:sz w:val="24"/>
          <w:szCs w:val="24"/>
          <w:highlight w:val="none"/>
          <w:u w:val="none"/>
        </w:rPr>
        <w:t>附录B</w:t>
      </w:r>
      <w:r>
        <w:rPr>
          <w:rStyle w:val="18"/>
          <w:rFonts w:hint="eastAsia" w:asciiTheme="minorEastAsia" w:hAnsiTheme="minorEastAsia" w:cstheme="minorEastAsia"/>
          <w:color w:val="auto"/>
          <w:sz w:val="24"/>
          <w:szCs w:val="24"/>
          <w:highlight w:val="none"/>
          <w:u w:val="none"/>
          <w:lang w:val="en-US" w:eastAsia="zh-CN"/>
        </w:rPr>
        <w:t xml:space="preserve"> </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微软雅黑" w:hAnsi="微软雅黑" w:eastAsia="微软雅黑" w:cs="微软雅黑"/>
          <w:color w:val="auto"/>
          <w:sz w:val="24"/>
          <w:szCs w:val="24"/>
          <w:highlight w:val="none"/>
          <w:u w:val="none"/>
        </w:rPr>
        <w:t>·</w:t>
      </w:r>
      <w:r>
        <w:rPr>
          <w:rStyle w:val="18"/>
          <w:rFonts w:hint="eastAsia" w:ascii="微软雅黑" w:hAnsi="微软雅黑" w:eastAsia="微软雅黑" w:cs="微软雅黑"/>
          <w:color w:val="auto"/>
          <w:sz w:val="24"/>
          <w:szCs w:val="24"/>
          <w:highlight w:val="none"/>
          <w:u w:val="none"/>
          <w:lang w:val="en-US" w:eastAsia="zh-CN"/>
        </w:rPr>
        <w:t>∙∙∙∙∙∙∙∙∙∙∙</w:t>
      </w:r>
      <w:r>
        <w:rPr>
          <w:rStyle w:val="18"/>
          <w:rFonts w:hint="eastAsia" w:asciiTheme="minorEastAsia" w:hAnsiTheme="minorEastAsia" w:eastAsiaTheme="minorEastAsia" w:cstheme="minorEastAsia"/>
          <w:color w:val="auto"/>
          <w:sz w:val="24"/>
          <w:szCs w:val="24"/>
          <w:highlight w:val="none"/>
          <w:u w:val="none"/>
        </w:rPr>
        <w:t>*</w:t>
      </w:r>
    </w:p>
    <w:p w14:paraId="07471971">
      <w:pPr>
        <w:pStyle w:val="21"/>
        <w:bidi w:val="0"/>
        <w:rPr>
          <w:rFonts w:hint="eastAsia"/>
          <w:lang w:val="en-US" w:eastAsia="zh-CN"/>
        </w:rPr>
      </w:pPr>
      <w:r>
        <w:rPr>
          <w:rFonts w:hint="eastAsia"/>
          <w:lang w:val="en-US" w:eastAsia="zh-CN"/>
        </w:rPr>
        <w:t>第一章 绪论</w:t>
      </w:r>
    </w:p>
    <w:p w14:paraId="773CB963">
      <w:pPr>
        <w:pStyle w:val="22"/>
        <w:bidi w:val="0"/>
        <w:rPr>
          <w:rFonts w:hint="eastAsia"/>
          <w:lang w:val="en-US" w:eastAsia="zh-CN"/>
        </w:rPr>
      </w:pPr>
      <w:r>
        <w:rPr>
          <w:rFonts w:hint="eastAsia"/>
          <w:lang w:val="en-US" w:eastAsia="zh-CN"/>
        </w:rPr>
        <w:t>1</w:t>
      </w:r>
      <w:r>
        <w:rPr>
          <w:rFonts w:hint="eastAsia"/>
          <w:lang w:val="en-US"/>
        </w:rPr>
        <w:t>.1</w:t>
      </w:r>
      <w:r>
        <w:rPr>
          <w:rFonts w:hint="eastAsia"/>
          <w:lang w:val="en-US" w:eastAsia="zh-CN"/>
        </w:rPr>
        <w:t xml:space="preserve"> 选题背景及研究意义</w:t>
      </w:r>
    </w:p>
    <w:p w14:paraId="7AF647F1">
      <w:pPr>
        <w:pStyle w:val="23"/>
        <w:bidi w:val="0"/>
        <w:rPr>
          <w:rFonts w:hint="eastAsia"/>
          <w:lang w:val="en-US" w:eastAsia="zh-CN"/>
        </w:rPr>
      </w:pPr>
      <w:r>
        <w:rPr>
          <w:rFonts w:hint="eastAsia"/>
          <w:lang w:val="en-US" w:eastAsia="zh-CN"/>
        </w:rPr>
        <w:t>1.1.1选题背景</w:t>
      </w:r>
    </w:p>
    <w:p w14:paraId="40CD9FBA">
      <w:pPr>
        <w:keepNext w:val="0"/>
        <w:keepLines w:val="0"/>
        <w:widowControl/>
        <w:spacing w:before="0" w:after="0" w:line="360" w:lineRule="auto"/>
        <w:ind w:firstLine="480"/>
        <w:jc w:val="both"/>
      </w:pPr>
      <w:r>
        <w:rPr>
          <w:rFonts w:ascii="Times New Roman" w:hAnsi="Times New Roman" w:eastAsia="宋体" w:cs="Times New Roman"/>
          <w:b w:val="0"/>
          <w:sz w:val="24"/>
        </w:rPr>
        <w:t>成品油油库承担油品接收、储存、中转和分发任务，是区域成品油供应体系中的重要储运设施。油库工艺系统涉及储罐、管线、泵、装卸设施及安全环保设施的协同运行，设计时既要保证油品流向清晰、输送能力满足要求，也要控制混油、泄漏、火灾爆炸、静电和油气挥发等风险。因此，依据具体油品种类和收发任务开展系统化工艺设计，是保障油库安全、稳定运行的基础。</w:t>
      </w:r>
    </w:p>
    <w:p w14:paraId="7FA6BEB7">
      <w:pPr>
        <w:keepNext w:val="0"/>
        <w:keepLines w:val="0"/>
        <w:widowControl/>
        <w:spacing w:before="0" w:after="0" w:line="360" w:lineRule="auto"/>
        <w:ind w:firstLine="480"/>
        <w:jc w:val="both"/>
      </w:pPr>
      <w:r>
        <w:rPr>
          <w:rFonts w:ascii="Times New Roman" w:hAnsi="Times New Roman" w:eastAsia="宋体" w:cs="Times New Roman"/>
          <w:b w:val="0"/>
          <w:sz w:val="24"/>
        </w:rPr>
        <w:t>本毕业设计以广州黄埔油库为设计对象，储运油品包括92号汽油、95号汽油和0号柴油。根据开题报告确定的任务条件，油品采用管道进库，出库采用管输与公路运输相结合的方式，油库主要承担成品油接收、分类储存、中转和分发任务。多油品与多种发运方式并存，要求工艺流程既能保证各油品独立、安全运行，又具备必要的倒罐、切换和检修条件。</w:t>
      </w:r>
    </w:p>
    <w:p w14:paraId="22FA9D68">
      <w:pPr>
        <w:keepNext w:val="0"/>
        <w:keepLines w:val="0"/>
        <w:widowControl/>
        <w:spacing w:before="0" w:after="0" w:line="360" w:lineRule="auto"/>
        <w:ind w:firstLine="480"/>
        <w:jc w:val="both"/>
        <w:rPr>
          <w:rFonts w:ascii="Times New Roman" w:hAnsi="Times New Roman" w:eastAsia="宋体" w:cs="Times New Roman"/>
          <w:b w:val="0"/>
          <w:sz w:val="24"/>
        </w:rPr>
      </w:pPr>
      <w:r>
        <w:rPr>
          <w:rFonts w:ascii="Times New Roman" w:hAnsi="Times New Roman" w:eastAsia="宋体" w:cs="Times New Roman"/>
          <w:b w:val="0"/>
          <w:sz w:val="24"/>
        </w:rPr>
        <w:t>本项目将在经核实的建设规模、油品性质、外部管网和场地资料基础上，完成油库功能分区、储罐配置、收发油流程、管道水力计算及泵选型，并同步考虑防火堤、消防系统、防雷防静电、防泄漏、油气回收和含油污水收集等措施。设计成果包括总平面布置图、工艺流程图和主要工艺管道布置图，为后续工艺计算、安全设计及方案校核提供依据。</w:t>
      </w:r>
    </w:p>
    <w:p w14:paraId="7D48DE46">
      <w:pPr>
        <w:pStyle w:val="22"/>
        <w:bidi w:val="0"/>
        <w:rPr>
          <w:rFonts w:hint="eastAsia" w:asciiTheme="minorEastAsia" w:hAnsiTheme="minorEastAsia" w:cstheme="minorEastAsia"/>
          <w:b/>
          <w:bCs/>
          <w:color w:val="auto"/>
          <w:spacing w:val="0"/>
          <w:szCs w:val="28"/>
          <w:highlight w:val="none"/>
          <w:lang w:val="en-US" w:eastAsia="zh-CN"/>
        </w:rPr>
      </w:pPr>
      <w:r>
        <w:rPr>
          <w:rFonts w:hint="eastAsia"/>
          <w:lang w:val="en-US" w:eastAsia="zh-CN"/>
        </w:rPr>
        <w:t>1.2研究意义</w:t>
      </w:r>
    </w:p>
    <w:p w14:paraId="6C18232E">
      <w:pPr>
        <w:pStyle w:val="23"/>
        <w:bidi w:val="0"/>
        <w:rPr>
          <w:rFonts w:hint="eastAsia"/>
          <w:lang w:val="en-US" w:eastAsia="zh-CN"/>
        </w:rPr>
      </w:pPr>
      <w:r>
        <w:rPr>
          <w:rFonts w:hint="eastAsia"/>
          <w:lang w:val="en-US" w:eastAsia="zh-CN"/>
        </w:rPr>
        <w:t>1.2.1理论意义</w:t>
      </w:r>
    </w:p>
    <w:p w14:paraId="7FB0349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完善多学科交叉的储运工程理论体系：油库设计涵盖石油储运工艺、流体力学、安全工程、环境工程、智能自动控制等多个学科领域。当前石油储运行业正向绿色化、智能化、安全化转型，传统设计理论、工艺优化体系及安全管控模型存在一定局限性。开展系统化油库设计研究，可针对性完善油品储存、装卸输送、损耗控制、安全风控、节能降耗等核心模块的理论内容，打破学科应用壁垒，推动多学科交叉融合在油库工程领域的落地，进一步丰富和细化石油储运工程理论体系。</w:t>
      </w:r>
    </w:p>
    <w:p w14:paraId="0C30C10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规范油库设计的理论标准与体系框架：本研究严格对标国家现行油库设计、安全管理、生态环保相关标准规范，摒弃传统经验化设计的片面性与随意性。通过对油库总平面布局、储罐型式选型、工艺流程设计、配套系统配置及安全环保设施布设等核心内容的系统性、规范化研究，进一步明确油库全流程设计的科学逻辑与技术准则，有效提升油库设计方案的科学性、合理性与规范性，完善油库工程标准化设计的理论框架。</w:t>
      </w:r>
    </w:p>
    <w:p w14:paraId="1094A6B4">
      <w:pPr>
        <w:pStyle w:val="23"/>
        <w:bidi w:val="0"/>
        <w:rPr>
          <w:rFonts w:hint="default"/>
          <w:lang w:val="en-US" w:eastAsia="zh-CN"/>
        </w:rPr>
      </w:pPr>
      <w:r>
        <w:rPr>
          <w:rFonts w:hint="eastAsia"/>
          <w:lang w:val="en-US" w:eastAsia="zh-CN"/>
        </w:rPr>
        <w:t>1.2.2现实意义</w:t>
      </w:r>
    </w:p>
    <w:p w14:paraId="07BB24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1.优化运营模式，提升油库经济效益：通过科学优化油库总体布局、储运工艺流程与设备配套配置，可有效理顺油品储存、装卸、输转全流程作业逻辑，大幅提升油库整体作业效率。同时能够精准控制油品蒸发损耗、设备运行能耗及日常运维成本，减少资源浪费，优化油库运营模式，显著提升油库运行稳定性与综合经济效益，适配市场化成品油储运的高效运营需求。</w:t>
      </w:r>
    </w:p>
    <w:p w14:paraId="2B4331F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2.筑牢安全防线，践行绿色低碳发展理念：油库属于高危储运场所，火灾、爆炸、油品泄漏及油气污染是核心风险隐患。本次设计通过科学配置消防防护、防雷防静电、实时泄漏监测、油气回收、污水处置等安全环保设施，构建全方位、立体化的安全防控与环保治理体系，可有效规避重大安全事故、降低油气污染物排放，大幅提升油库本质安全水平，契合我国“双碳”目标以及绿色石化、绿色储运的行业发展要求。</w:t>
      </w:r>
    </w:p>
    <w:p w14:paraId="142FDAAF">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80" w:firstLineChars="200"/>
        <w:jc w:val="left"/>
        <w:textAlignment w:val="auto"/>
        <w:rPr>
          <w:rFonts w:hint="default" w:asciiTheme="minorEastAsia" w:hAnsiTheme="minorEastAsia" w:cstheme="minorEastAsia"/>
          <w:color w:val="000000" w:themeColor="text1"/>
          <w:sz w:val="24"/>
          <w:szCs w:val="24"/>
          <w:highlight w:val="none"/>
          <w:lang w:val="en-US" w:eastAsia="zh-CN"/>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3.助力行业升级，保障国家能源储运安全：在国家大力推进能源安全战略、现代物流基础设施升级、石化行业高质量发展的背景下，老旧油库改造、智能化新库建设需求持续激增。本研究的设计方案可有效优化石油储运基础设施建设标准，推动传统油库向智能化、绿色化、安全化升级，完善国内油气储运网络布局，对提升石油储运行业整体建设水平、保障区域油品稳定应急保供、筑牢国家能源储运安全屏障具有重要的现实推动作用。</w:t>
      </w:r>
    </w:p>
    <w:p w14:paraId="3AA700E0">
      <w:pPr>
        <w:ind w:left="0" w:leftChars="0" w:firstLine="0" w:firstLineChars="0"/>
        <w:rPr>
          <w:rFonts w:hint="eastAsia" w:asciiTheme="minorEastAsia" w:hAnsiTheme="minorEastAsia" w:cstheme="minorEastAsia"/>
          <w:b/>
          <w:bCs/>
          <w:color w:val="auto"/>
          <w:spacing w:val="0"/>
          <w:sz w:val="28"/>
          <w:szCs w:val="28"/>
          <w:highlight w:val="none"/>
          <w:lang w:val="en-US" w:eastAsia="zh-CN"/>
        </w:rPr>
      </w:pPr>
      <w:r>
        <w:rPr>
          <w:rFonts w:hint="eastAsia" w:asciiTheme="minorEastAsia" w:hAnsiTheme="minorEastAsia" w:cstheme="minorEastAsia"/>
          <w:b/>
          <w:bCs/>
          <w:color w:val="auto"/>
          <w:spacing w:val="0"/>
          <w:sz w:val="28"/>
          <w:szCs w:val="28"/>
          <w:highlight w:val="none"/>
          <w:lang w:val="en-US" w:eastAsia="zh-CN"/>
        </w:rPr>
        <w:br w:type="page"/>
      </w:r>
    </w:p>
    <w:p w14:paraId="42380B7E">
      <w:pPr>
        <w:pStyle w:val="21"/>
        <w:bidi w:val="0"/>
        <w:rPr>
          <w:rFonts w:hint="default"/>
          <w:lang w:val="en-US" w:eastAsia="zh-CN"/>
        </w:rPr>
      </w:pPr>
      <w:r>
        <w:rPr>
          <w:rFonts w:hint="eastAsia"/>
          <w:lang w:val="en-US" w:eastAsia="zh-CN"/>
        </w:rPr>
        <w:t>第2章 国内外研究动态</w:t>
      </w:r>
    </w:p>
    <w:p w14:paraId="603449DC">
      <w:pPr>
        <w:pStyle w:val="22"/>
        <w:bidi w:val="0"/>
        <w:rPr>
          <w:rFonts w:hint="eastAsia"/>
          <w:lang w:eastAsia="zh-CN"/>
        </w:rPr>
      </w:pPr>
      <w:bookmarkStart w:id="0" w:name="_Toc12266"/>
      <w:r>
        <w:rPr>
          <w:rFonts w:hint="eastAsia"/>
          <w:lang w:val="en-US" w:eastAsia="zh-CN"/>
        </w:rPr>
        <w:t>2</w:t>
      </w:r>
      <w:r>
        <w:rPr>
          <w:rFonts w:hint="eastAsia"/>
          <w:lang w:val="en-US"/>
        </w:rPr>
        <w:t>.1</w:t>
      </w:r>
      <w:r>
        <w:rPr>
          <w:rFonts w:hint="eastAsia"/>
          <w:lang w:val="en-US" w:eastAsia="zh-CN"/>
        </w:rPr>
        <w:t xml:space="preserve"> </w:t>
      </w:r>
      <w:r>
        <w:rPr>
          <w:rFonts w:hint="eastAsia"/>
          <w:lang w:val="en-US"/>
        </w:rPr>
        <w:t>国内</w:t>
      </w:r>
      <w:r>
        <w:rPr>
          <w:rFonts w:hint="eastAsia"/>
        </w:rPr>
        <w:t>研究</w:t>
      </w:r>
      <w:bookmarkEnd w:id="0"/>
      <w:r>
        <w:rPr>
          <w:rFonts w:hint="eastAsia"/>
          <w:lang w:val="en-US" w:eastAsia="zh-CN"/>
        </w:rPr>
        <w:t>现状</w:t>
      </w:r>
    </w:p>
    <w:p w14:paraId="1E8F9FF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近年来，伴随国内能源储备体系持续完善、成品油储运管网规模化建设，油库工艺设计逐步摆脱传统经验化设计模式，朝着标准化、绿色低碳、数字化智能管控方向转型。国内工程学者、设计院围绕管道协同布局、装卸工艺、设备选型、罐区管道、安全布局、环保减排、自动化运维七大核心方向开展大量工程实践与理论研究，形成适配我国管网布局、软土地基、多雨气候、现行规范体系的成套设计思路。 在管网协同与库区总体规划层面，张付卿（2005）提出，现代化成品油库建设必须与全国成品油干线管道统筹配套、一体化规划，油库总平面、储运系统、自控、供配电、消防给排水均需贴合管道下载输送需求。</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管道配套油库需结合管道额定下载流量核算储罐总容量，改造或增设电动进罐阀门，同步扩容公路发油设施，实现管道连续卸油与公路快速外发联动；库区供电、消防系统与管道站场统一设计，减少重复建设、节约占地与投资。</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当前国内新建分销型油库普遍遵循该思路，依托长输管道替代传统铁路、水运进厂模式，实现全天候稳定输油，降低中转损耗与运输成本。</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在工艺流程与装卸工艺层面，国内油库通用“管道进厂—储罐储存—自动化装车外发”密闭工艺主线，分上装、下装两种发油模式，行业已明确下装发油是主流升级方向。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[5,14]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对比两类装车工艺指出，传统上装发油流量仅50～100m³/h，敞开式作业挥发大量油气；而下装发油流量可达120～140m³/h，全程密闭无罐口敞开，可直接对接油气回收快速接头，大幅减少挥发性有机物排放，同时支持多舱罐车多鹤管同步作业，缩短车辆排队时长，消除人员登高操作的安全隐患。</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现阶段国内发达地区油库多采用上下装结合方案，同步配套自动化添加剂加注系统，满足多品类油品调兑需求。针对华南软土、多雨地域工况，陈敏平（2011）补充了配管专项设计要点：储罐与汇管地基易产生不均匀沉降，罐根阀门后必须设置金属波纹软管补偿位移，阀门支架与储罐基础整体浇筑，避免管线焊缝撕裂泄漏；高黏燃料油输送管线配套分段蒸汽伴热，管沟采用细砂回填密封，防止积水散失热量、升高油品黏度造成输送不畅。</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[9]</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在储罐与机泵设备选型方面，国内依托国家战略石油储备工程，10万m³、15万m³大型浮顶、内浮顶储罐国产化设计技术完全成熟。</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行业严格遵循GB 50074、GB 50341开展选型：汽油等高挥发性油品选用内浮顶罐抑制挥发损耗，柴油、燃料油采用固定顶罐，万立方米级拱顶罐优先采用双向子午线网壳顶，实现长期免防腐维护；机泵按输送介质区分，轻质成品油选用低泄漏离心泵，高黏燃料油配套自吸式螺杆泵，设计阶段必须精确核算装置汽蚀余量，严格遵循介质安全系数，杜绝泵空转、流量不足故障。</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[6-7]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有限元数值模拟已普遍用于储罐风、雨、地震荷载与底板应力校核，提升罐体结构安全冗余。</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在罐区安全布置与标准研究领域，陆育等（2024）系统对比国内GB 50074、GB 50160与国外NFPA、API系列规范，梳理油品危险分类、储罐防火间距、隔堤、防火堤容积核心差异：国内仅以闭杯闪点划分危险等级，储罐间距按罐径倍数取值，隔堤、堤体高度与有效容积均设置强制条款；国内工程大量采用PHAST仿真软件模拟储罐火灾热辐射，验证现行防火间距的合理性，为大型罐区布局提供量化支撑。</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[10]</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HAZOP、故障树、定量风险评价等手段广泛用于风险辨识，配套可燃气体探测、紧急切断联锁、自动泡沫消防构建全流程安全防线。</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[1,13]</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环保与自动化工艺研究方面，响应国家“双碳”与挥发性有机物管控政策，国内重点推广吸收、冷凝、吸附及耦合式油气回收成套设备。</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[2]</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张付卿（2005）分析行业应用现状：汽油内浮顶罐、管道进厂已大幅削减储存与进油损耗，但传统上装发油环节油气逸散问题突出；年发油量50万吨以上大中型油库配套油气回收装置，两年内即可收回设备投资，同时消除有毒油气对作业人员的伤害。</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[12,14]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在清罐原油处理方面，王文涛等（2024）开展了高含铁清罐原油脱铁净化技术的工业实践，为清罐原油资源化处理提供了工程参考。</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[4]</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自动化系统作为油库核心配套，完整覆盖罐群计量、公路定量装车、安全监控三大模块：罐区采用伺服、磁致伸缩液位计，自动采集液位、温度、密度数据并超限报警；装车系统采用PLC集散控制，集成静电接地、溢油联锁、多段缓关阀防水击、温度补偿、IC卡刷卡发油功能；库区部署可燃气体探测、电子巡更、视频监控联动火灾报警系统，实现少人值守、数字化调度。</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[8]</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行业现存短板同样受到学界关注：当前国内中小型自备油库工艺老旧、下装发油、油气回收、智能计量改造滞后；全过程定量风险评估、数字孪生仿真尚未大范围落地；不同国标间防火堤、隔堤条款存在细微冲突；专业设计人才供给不足，精细化节能、超低排放工艺普及度有限，制约油库现代化升级速度。</w:t>
      </w:r>
    </w:p>
    <w:p w14:paraId="4803B2BE">
      <w:pPr>
        <w:pStyle w:val="22"/>
        <w:bidi w:val="0"/>
        <w:rPr>
          <w:rFonts w:hint="eastAsia"/>
          <w:lang w:val="en-US" w:eastAsia="zh-CN"/>
        </w:rPr>
      </w:pPr>
      <w:bookmarkStart w:id="1" w:name="_Toc634"/>
      <w:r>
        <w:rPr>
          <w:rFonts w:hint="eastAsia"/>
          <w:lang w:val="en-US" w:eastAsia="zh-CN"/>
        </w:rPr>
        <w:t>2</w:t>
      </w:r>
      <w:r>
        <w:rPr>
          <w:rFonts w:hint="eastAsia"/>
          <w:lang w:val="en-US"/>
        </w:rPr>
        <w:t>.2</w:t>
      </w:r>
      <w:r>
        <w:rPr>
          <w:rFonts w:hint="eastAsia"/>
          <w:lang w:val="en-US" w:eastAsia="zh-CN"/>
        </w:rPr>
        <w:t xml:space="preserve"> </w:t>
      </w:r>
      <w:r>
        <w:rPr>
          <w:rFonts w:hint="eastAsia"/>
          <w:lang w:val="en-US"/>
        </w:rPr>
        <w:t>国</w:t>
      </w:r>
      <w:r>
        <w:rPr>
          <w:rFonts w:hint="eastAsia"/>
          <w:lang w:val="en-US" w:eastAsia="zh-CN"/>
        </w:rPr>
        <w:t>外</w:t>
      </w:r>
      <w:r>
        <w:rPr>
          <w:rFonts w:hint="eastAsia"/>
          <w:lang w:val="en-US"/>
        </w:rPr>
        <w:t>研究</w:t>
      </w:r>
      <w:bookmarkEnd w:id="1"/>
      <w:r>
        <w:rPr>
          <w:rFonts w:hint="eastAsia"/>
          <w:lang w:val="en-US" w:eastAsia="zh-CN"/>
        </w:rPr>
        <w:t>现状</w:t>
      </w:r>
    </w:p>
    <w:p w14:paraId="4F88724A">
      <w:pPr>
        <w:pStyle w:val="20"/>
        <w:keepNext w:val="0"/>
        <w:keepLines w:val="0"/>
        <w:pageBreakBefore w:val="0"/>
        <w:widowControl w:val="0"/>
        <w:kinsoku/>
        <w:wordWrap/>
        <w:overflowPunct/>
        <w:topLinePunct w:val="0"/>
        <w:autoSpaceDE/>
        <w:autoSpaceDN/>
        <w:bidi w:val="0"/>
        <w:adjustRightInd w:val="0"/>
        <w:snapToGrid/>
        <w:spacing w:before="321" w:beforeLines="100" w:after="321" w:afterLines="100" w:line="360" w:lineRule="auto"/>
        <w:ind w:firstLine="520" w:firstLineChars="200"/>
        <w:textAlignment w:val="baseline"/>
        <w:outlineLvl w:val="1"/>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pPr>
      <w:bookmarkStart w:id="2" w:name="_Toc11869"/>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欧美、日本等发达国家石油储运产业起步更早，经过数十年工程迭代，形成以API、NFPA、ISO、EI、OISD为核心的完整油库设计理论与标准体系，设计理念侧重全生命周期安全管控、量化风险仿真、智能化数字运维。</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[15-17]</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 xml:space="preserve"> 在安全设计与标准体系层面，国外严格推行全过程工艺安全管理，将风险模拟、安全校核贯穿油库规划、工艺设计、施工、运维、报废全周期。美国NFPA 30、API 650、API 2610为全球通用标杆规范：NFPA 30同时结合闪点、沸点、蒸气压划分液体危险等级，相比国内单一闪点分类更为精细；</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储罐防火间距、隔堤、防火堤设计依托火灾热辐射仿真确定，大容量易燃储罐强制单罐单隔，堤体容积预留雨水、消防水容纳余量；</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[16]</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API 650采用性能化设计思路，储罐壁厚、底板应力计算灵活取值，兼顾安全与钢材消耗。</w:t>
      </w:r>
      <w:r>
        <w:rPr>
          <w:rFonts w:hint="default" w:asciiTheme="minorEastAsia" w:hAnsiTheme="minorEastAsia" w:eastAsiaTheme="minorEastAsia" w:cstheme="minorEastAsia"/>
          <w:color w:val="000000" w:themeColor="text1"/>
          <w:kern w:val="2"/>
          <w:sz w:val="24"/>
          <w:szCs w:val="24"/>
          <w:highlight w:val="none"/>
          <w:vertAlign w:val="superscript"/>
          <w:lang w:val="en-US" w:eastAsia="zh-CN" w:bidi="ar-SA"/>
          <w14:textFill>
            <w14:solidFill>
              <w14:schemeClr w14:val="tx1"/>
            </w14:solidFill>
          </w14:textFill>
        </w:rPr>
        <w:t>[15]</w:t>
      </w: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英国EI、印度OISD结合本土气候形成补充规范，搭建多层次标准化框架。 智能化与数字化工艺是国外近年核心研究方向，依托DCS、SCADA、物联网感知搭建库区实时监控网络，融合数字孪生、人工智能实现设备预测性维护、泄漏智能预警、库存自动调度。行业普遍采用Phast、Aloha仿真软件模拟火灾、泄漏扩散，以量化结果反向优化罐间距、消防配置，推动安全设计由查表规范向数值量化升级。 环保与装卸工艺领域，欧美严苛的挥发性有机物管控法规推动冷凝-吸附联合、膜分离、低温油气回收技术商业化；国外油库全面普及密闭下装装车系统，配套一体化回收管路，从源头控制油气挥发。同时海外学者长期开展罐底油泥沉积、含油废弃物处置、储运换热网络优化基础研究，持续通过数值仿真优化储存、输送工艺参数。当前以数字孪生、全周期安全评估、智能能源调度为核心的智慧油库，是国际油库工艺设计主流发展方向。</w:t>
      </w:r>
    </w:p>
    <w:p w14:paraId="708C6454">
      <w:pPr>
        <w:pStyle w:val="22"/>
        <w:bidi w:val="0"/>
        <w:rPr>
          <w:rFonts w:hint="default"/>
          <w:lang w:val="en-US" w:eastAsia="zh-CN"/>
        </w:rPr>
      </w:pPr>
      <w:r>
        <w:rPr>
          <w:rFonts w:hint="eastAsia"/>
          <w:lang w:val="en-US" w:eastAsia="zh-CN"/>
        </w:rPr>
        <w:t>2</w:t>
      </w:r>
      <w:r>
        <w:rPr>
          <w:rFonts w:hint="eastAsia"/>
          <w:lang w:val="en-US"/>
        </w:rPr>
        <w:t>.3</w:t>
      </w:r>
      <w:r>
        <w:rPr>
          <w:rFonts w:hint="eastAsia"/>
          <w:lang w:val="en-US" w:eastAsia="zh-CN"/>
        </w:rPr>
        <w:t xml:space="preserve"> </w:t>
      </w:r>
      <w:bookmarkEnd w:id="2"/>
      <w:r>
        <w:rPr>
          <w:rFonts w:hint="eastAsia"/>
          <w:lang w:val="en-US" w:eastAsia="zh-CN"/>
        </w:rPr>
        <w:t>国内外研究现状分析</w:t>
      </w:r>
    </w:p>
    <w:p w14:paraId="26938D09">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Theme="minorEastAsia" w:hAnsiTheme="minorEastAsia" w:eastAsiaTheme="minorEastAsia" w:cstheme="minorEastAsia"/>
          <w:b/>
          <w:bCs/>
          <w:color w:val="auto"/>
          <w:spacing w:val="0"/>
          <w:sz w:val="28"/>
          <w:szCs w:val="28"/>
          <w:highlight w:val="none"/>
          <w:lang w:val="en-US"/>
        </w:rPr>
      </w:pPr>
      <w:r>
        <w:rPr>
          <w:rFonts w:hint="default" w:asciiTheme="minorEastAsia" w:hAnsiTheme="minorEastAsia" w:eastAsiaTheme="minorEastAsia" w:cstheme="minorEastAsia"/>
          <w:color w:val="000000" w:themeColor="text1"/>
          <w:kern w:val="2"/>
          <w:sz w:val="24"/>
          <w:szCs w:val="24"/>
          <w:highlight w:val="none"/>
          <w:lang w:val="en-US" w:eastAsia="zh-CN" w:bidi="ar-SA"/>
          <w14:textFill>
            <w14:solidFill>
              <w14:schemeClr w14:val="tx1"/>
            </w14:solidFill>
          </w14:textFill>
        </w:rPr>
        <w:t>整体来看，国外油库工艺设计理论体系成熟完整，全过程量化风险评估、数字孪生落地、高端油气回收、密闭下装成套工艺、仿真工具商业化应用具备显著领先优势，标准体系兼顾安全、环保、工程经济性。 国内依托长输成品油管道、战略储油库大规模建设，在管道配套油库一体化设计、软土地基配管沉降补偿、大型储罐国产化、常规油气回收、自动化定量装车系统领域实现跨越式发展，整体技术与国际先进水平差距持续缩小。但行业仍存在明显短板：一是中小型自备油库工艺改造进度缓慢，下装发油、智能计量普及率偏低；二是全过程定量风险评价、数字孪生仿真仅在大型储备库试点，未全面普及；三是国内多项储罐相关标准条款存在不统一问题，防火堤、隔堤设计仍有优化空间；四是超低排放、精细化节能工艺落地范围有限。 综合国内外现有研究成果，本次黄埔区成品油库工艺设计将严格遵循GB 50074、GB 50341等国内现行强制规范，借鉴国外全周期安全管控、密闭装卸先进思路，结合本地多雨、软土地基区域特征，统筹管道卸油、下装密闭发油、罐区沉降补偿、蒸汽伴热、油气回收、智能自控整套工艺方案，打造安全合规、经济节能、绿色低碳、适配区域管网配套的成品油库系统。</w:t>
      </w:r>
    </w:p>
    <w:p w14:paraId="24847FC7">
      <w:pPr>
        <w:pStyle w:val="20"/>
        <w:keepNext w:val="0"/>
        <w:keepLines w:val="0"/>
        <w:pageBreakBefore w:val="0"/>
        <w:widowControl w:val="0"/>
        <w:kinsoku/>
        <w:wordWrap/>
        <w:overflowPunct/>
        <w:topLinePunct w:val="0"/>
        <w:autoSpaceDE/>
        <w:autoSpaceDN/>
        <w:bidi w:val="0"/>
        <w:adjustRightInd w:val="0"/>
        <w:snapToGrid/>
        <w:spacing w:line="360" w:lineRule="auto"/>
        <w:ind w:firstLine="480" w:firstLineChars="200"/>
        <w:textAlignment w:val="baseline"/>
        <w:rPr>
          <w:rFonts w:hint="eastAsia"/>
          <w:color w:val="auto"/>
          <w:spacing w:val="0"/>
          <w:highlight w:val="none"/>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p>
    <w:p w14:paraId="460C18F4">
      <w:pPr>
        <w:pStyle w:val="21"/>
        <w:bidi w:val="0"/>
        <w:rPr>
          <w:rFonts w:hint="default"/>
          <w:lang w:val="en-US" w:eastAsia="zh-CN"/>
        </w:rPr>
      </w:pPr>
      <w:bookmarkStart w:id="3" w:name="_Toc13420"/>
      <w:r>
        <w:rPr>
          <w:rFonts w:hint="eastAsia"/>
          <w:lang w:val="en-US" w:eastAsia="zh-CN"/>
        </w:rPr>
        <w:t xml:space="preserve">第3章 </w:t>
      </w:r>
      <w:bookmarkEnd w:id="3"/>
      <w:r>
        <w:rPr>
          <w:rFonts w:hint="eastAsia"/>
          <w:lang w:val="en-US" w:eastAsia="zh-CN"/>
        </w:rPr>
        <w:t>设计概况及总体设计</w:t>
      </w:r>
    </w:p>
    <w:p w14:paraId="402EEA2A">
      <w:pPr>
        <w:pStyle w:val="22"/>
        <w:bidi w:val="0"/>
        <w:rPr>
          <w:rFonts w:hint="default"/>
          <w:lang w:val="en-US" w:eastAsia="zh-CN"/>
        </w:rPr>
      </w:pPr>
      <w:bookmarkStart w:id="4" w:name="_Toc26565"/>
      <w:r>
        <w:rPr>
          <w:rFonts w:hint="eastAsia"/>
          <w:lang w:val="en-US" w:eastAsia="zh-CN"/>
        </w:rPr>
        <w:t>3</w:t>
      </w:r>
      <w:r>
        <w:rPr>
          <w:rFonts w:hint="eastAsia"/>
          <w:lang w:val="en-US"/>
        </w:rPr>
        <w:t xml:space="preserve">.1 </w:t>
      </w:r>
      <w:bookmarkEnd w:id="4"/>
      <w:r>
        <w:rPr>
          <w:rFonts w:hint="eastAsia"/>
          <w:lang w:val="en-US" w:eastAsia="zh-CN"/>
        </w:rPr>
        <w:t>设计概况</w:t>
      </w:r>
    </w:p>
    <w:p w14:paraId="178C09EB">
      <w:pPr>
        <w:pStyle w:val="23"/>
        <w:bidi w:val="0"/>
        <w:rPr>
          <w:rFonts w:hint="eastAsia"/>
          <w:lang w:val="en-US" w:eastAsia="zh-CN"/>
        </w:rPr>
      </w:pPr>
      <w:r>
        <w:rPr>
          <w:rFonts w:hint="eastAsia"/>
          <w:lang w:val="en-US" w:eastAsia="zh-CN"/>
        </w:rPr>
        <w:t>3</w:t>
      </w:r>
      <w:r>
        <w:rPr>
          <w:rFonts w:hint="eastAsia"/>
          <w:lang w:val="en-US"/>
        </w:rPr>
        <w:t xml:space="preserve">.1.1 </w:t>
      </w:r>
      <w:r>
        <w:rPr>
          <w:rFonts w:hint="eastAsia"/>
          <w:lang w:val="en-US" w:eastAsia="zh-CN"/>
        </w:rPr>
        <w:t>建设规模及建设参数</w:t>
      </w:r>
    </w:p>
    <w:p w14:paraId="3212C786">
      <w:p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一）、建设规模</w:t>
      </w:r>
    </w:p>
    <w:p w14:paraId="58A8F8E9">
      <w:pP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1.年周转运营规模</w:t>
      </w:r>
    </w:p>
    <w:p w14:paraId="500BA9C4">
      <w:pPr>
        <w:rPr>
          <w:rFonts w:hint="default" w:ascii="Times New Roman" w:hAnsi="Times New Roman" w:eastAsia="宋体" w:cs="Times New Roman"/>
          <w:szCs w:val="21"/>
        </w:rPr>
      </w:pPr>
      <w:r>
        <w:rPr>
          <w:rFonts w:hint="default" w:ascii="Times New Roman" w:hAnsi="Times New Roman" w:eastAsia="宋体" w:cs="Times New Roman"/>
          <w:szCs w:val="21"/>
        </w:rPr>
        <w:t>该油库</w:t>
      </w:r>
      <w:r>
        <w:rPr>
          <w:rFonts w:hint="eastAsia" w:ascii="Times New Roman" w:hAnsi="Times New Roman" w:eastAsia="宋体" w:cs="Times New Roman"/>
          <w:szCs w:val="21"/>
          <w:lang w:val="en-US" w:eastAsia="zh-CN"/>
        </w:rPr>
        <w:t>坐落于广州市黄埔区</w:t>
      </w:r>
      <w:r>
        <w:rPr>
          <w:rFonts w:hint="default" w:ascii="Times New Roman" w:hAnsi="Times New Roman" w:eastAsia="宋体" w:cs="Times New Roman"/>
          <w:szCs w:val="21"/>
        </w:rPr>
        <w:t>，</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作为珠三角东部区域成品油分销中转库，负责</w:t>
      </w:r>
      <w:r>
        <w:rPr>
          <w:rFonts w:hint="default" w:ascii="Times New Roman" w:hAnsi="Times New Roman" w:eastAsia="宋体" w:cs="Times New Roman"/>
          <w:szCs w:val="21"/>
        </w:rPr>
        <w:t>92#汽油、95＃汽油、和0＃柴油</w:t>
      </w:r>
      <w:r>
        <w:rPr>
          <w:rFonts w:hint="eastAsia" w:ascii="Times New Roman" w:hAnsi="Times New Roman" w:eastAsia="宋体" w:cs="Times New Roman"/>
          <w:szCs w:val="21"/>
          <w:lang w:val="en-US" w:eastAsia="zh-CN"/>
        </w:rPr>
        <w:t>三类成品油</w:t>
      </w:r>
      <w:r>
        <w:rPr>
          <w:rFonts w:hint="default" w:ascii="Times New Roman" w:hAnsi="Times New Roman" w:eastAsia="宋体" w:cs="Times New Roman"/>
          <w:szCs w:val="21"/>
          <w:lang w:eastAsia="zh-CN"/>
        </w:rPr>
        <w:t>接收、储存与分发，保障地区大部分成品油供应。</w:t>
      </w:r>
      <w:r>
        <w:rPr>
          <w:rFonts w:hint="eastAsia" w:ascii="Times New Roman" w:hAnsi="Times New Roman" w:eastAsia="宋体" w:cs="Times New Roman"/>
          <w:szCs w:val="21"/>
          <w:lang w:val="en-US" w:eastAsia="zh-CN"/>
        </w:rPr>
        <w:t>各类油品既定年周转量、收发油方式及分配比例如下表1所示。</w:t>
      </w:r>
    </w:p>
    <w:p w14:paraId="4366C1C7">
      <w:pPr>
        <w:pStyle w:val="24"/>
        <w:bidi w:val="0"/>
        <w:rPr>
          <w:rFonts w:hint="default" w:ascii="Times New Roman" w:hAnsi="Times New Roman" w:eastAsia="宋体" w:cs="Times New Roman"/>
          <w:szCs w:val="21"/>
        </w:rPr>
      </w:pPr>
      <w:r>
        <w:rPr>
          <w:rFonts w:hint="default"/>
        </w:rPr>
        <w:t xml:space="preserve">表1 </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688"/>
        <w:gridCol w:w="1687"/>
        <w:gridCol w:w="1336"/>
        <w:gridCol w:w="2038"/>
      </w:tblGrid>
      <w:tr w14:paraId="322E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5" w:type="dxa"/>
            <w:vAlign w:val="center"/>
          </w:tcPr>
          <w:p w14:paraId="242AF2E4">
            <w:pPr>
              <w:jc w:val="center"/>
              <w:rPr>
                <w:rFonts w:hint="default" w:ascii="Times New Roman" w:hAnsi="Times New Roman" w:eastAsia="宋体" w:cs="Times New Roman"/>
                <w:szCs w:val="21"/>
              </w:rPr>
            </w:pPr>
            <w:r>
              <w:rPr>
                <w:rFonts w:hint="default" w:ascii="Times New Roman" w:hAnsi="Times New Roman" w:eastAsia="宋体" w:cs="Times New Roman"/>
                <w:szCs w:val="21"/>
              </w:rPr>
              <w:t>油品</w:t>
            </w:r>
          </w:p>
        </w:tc>
        <w:tc>
          <w:tcPr>
            <w:tcW w:w="1688" w:type="dxa"/>
            <w:vAlign w:val="center"/>
          </w:tcPr>
          <w:p w14:paraId="17156D1C">
            <w:pPr>
              <w:jc w:val="center"/>
              <w:rPr>
                <w:rFonts w:hint="default" w:ascii="Times New Roman" w:hAnsi="Times New Roman" w:eastAsia="宋体" w:cs="Times New Roman"/>
                <w:szCs w:val="21"/>
              </w:rPr>
            </w:pPr>
            <w:r>
              <w:rPr>
                <w:rFonts w:hint="default" w:ascii="Times New Roman" w:hAnsi="Times New Roman" w:eastAsia="宋体" w:cs="Times New Roman"/>
                <w:szCs w:val="21"/>
              </w:rPr>
              <w:t>进库量（×10</w:t>
            </w:r>
            <w:r>
              <w:rPr>
                <w:rFonts w:hint="default" w:ascii="Times New Roman" w:hAnsi="Times New Roman" w:eastAsia="宋体" w:cs="Times New Roman"/>
                <w:szCs w:val="21"/>
                <w:vertAlign w:val="superscript"/>
              </w:rPr>
              <w:t>4</w:t>
            </w:r>
            <w:r>
              <w:rPr>
                <w:rFonts w:hint="default" w:ascii="Times New Roman" w:hAnsi="Times New Roman" w:eastAsia="宋体" w:cs="Times New Roman"/>
                <w:szCs w:val="21"/>
              </w:rPr>
              <w:t>t）</w:t>
            </w:r>
          </w:p>
        </w:tc>
        <w:tc>
          <w:tcPr>
            <w:tcW w:w="1687" w:type="dxa"/>
            <w:vAlign w:val="center"/>
          </w:tcPr>
          <w:p w14:paraId="6142E76F">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进库方式</w:t>
            </w:r>
            <w:r>
              <w:rPr>
                <w:rFonts w:hint="eastAsia" w:ascii="Times New Roman" w:hAnsi="Times New Roman" w:eastAsia="宋体" w:cs="Times New Roman"/>
                <w:szCs w:val="21"/>
                <w:lang w:val="en-US" w:eastAsia="zh-CN"/>
              </w:rPr>
              <w:t>及比例</w:t>
            </w:r>
          </w:p>
        </w:tc>
        <w:tc>
          <w:tcPr>
            <w:tcW w:w="1336" w:type="dxa"/>
            <w:vAlign w:val="center"/>
          </w:tcPr>
          <w:p w14:paraId="60E684C9">
            <w:pPr>
              <w:jc w:val="center"/>
              <w:rPr>
                <w:rFonts w:hint="default" w:ascii="Times New Roman" w:hAnsi="Times New Roman" w:eastAsia="宋体" w:cs="Times New Roman"/>
                <w:szCs w:val="21"/>
              </w:rPr>
            </w:pPr>
            <w:r>
              <w:rPr>
                <w:rFonts w:hint="default" w:ascii="Times New Roman" w:hAnsi="Times New Roman" w:eastAsia="宋体" w:cs="Times New Roman"/>
                <w:szCs w:val="21"/>
              </w:rPr>
              <w:t>出库量</w:t>
            </w:r>
          </w:p>
        </w:tc>
        <w:tc>
          <w:tcPr>
            <w:tcW w:w="2038" w:type="dxa"/>
            <w:vAlign w:val="center"/>
          </w:tcPr>
          <w:p w14:paraId="300CD43B">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出库方式</w:t>
            </w:r>
            <w:r>
              <w:rPr>
                <w:rFonts w:hint="eastAsia" w:ascii="Times New Roman" w:hAnsi="Times New Roman" w:eastAsia="宋体" w:cs="Times New Roman"/>
                <w:szCs w:val="21"/>
                <w:lang w:val="en-US" w:eastAsia="zh-CN"/>
              </w:rPr>
              <w:t>及比例</w:t>
            </w:r>
          </w:p>
        </w:tc>
      </w:tr>
      <w:tr w14:paraId="2E8B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72EBBCBC">
            <w:pPr>
              <w:jc w:val="center"/>
              <w:rPr>
                <w:rFonts w:hint="default" w:ascii="Times New Roman" w:hAnsi="Times New Roman" w:eastAsia="宋体" w:cs="Times New Roman"/>
                <w:szCs w:val="21"/>
              </w:rPr>
            </w:pPr>
            <w:r>
              <w:rPr>
                <w:rFonts w:hint="default" w:ascii="Times New Roman" w:hAnsi="Times New Roman" w:eastAsia="宋体" w:cs="Times New Roman"/>
                <w:szCs w:val="21"/>
              </w:rPr>
              <w:t>92#汽油</w:t>
            </w:r>
          </w:p>
        </w:tc>
        <w:tc>
          <w:tcPr>
            <w:tcW w:w="1688" w:type="dxa"/>
            <w:vAlign w:val="center"/>
          </w:tcPr>
          <w:p w14:paraId="315148AF">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1687" w:type="dxa"/>
            <w:vAlign w:val="center"/>
          </w:tcPr>
          <w:p w14:paraId="5FCCC20E">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2432AA27">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28</w:t>
            </w:r>
          </w:p>
        </w:tc>
        <w:tc>
          <w:tcPr>
            <w:tcW w:w="2038" w:type="dxa"/>
            <w:vAlign w:val="center"/>
          </w:tcPr>
          <w:p w14:paraId="38E20645">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管输（85%）、公路（15%）</w:t>
            </w:r>
          </w:p>
        </w:tc>
      </w:tr>
      <w:tr w14:paraId="1FBD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5FBA0EB">
            <w:pPr>
              <w:jc w:val="center"/>
              <w:rPr>
                <w:rFonts w:hint="default" w:ascii="Times New Roman" w:hAnsi="Times New Roman" w:eastAsia="宋体" w:cs="Times New Roman"/>
                <w:szCs w:val="21"/>
              </w:rPr>
            </w:pPr>
            <w:r>
              <w:rPr>
                <w:rFonts w:hint="default" w:ascii="Times New Roman" w:hAnsi="Times New Roman" w:eastAsia="宋体" w:cs="Times New Roman"/>
                <w:szCs w:val="21"/>
              </w:rPr>
              <w:t>95#汽油</w:t>
            </w:r>
          </w:p>
        </w:tc>
        <w:tc>
          <w:tcPr>
            <w:tcW w:w="1688" w:type="dxa"/>
            <w:vAlign w:val="center"/>
          </w:tcPr>
          <w:p w14:paraId="7A80AE79">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1687" w:type="dxa"/>
            <w:vAlign w:val="center"/>
          </w:tcPr>
          <w:p w14:paraId="7B328965">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5F051618">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15</w:t>
            </w:r>
          </w:p>
        </w:tc>
        <w:tc>
          <w:tcPr>
            <w:tcW w:w="2038" w:type="dxa"/>
            <w:vAlign w:val="center"/>
          </w:tcPr>
          <w:p w14:paraId="1AA82AF3">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管输（90%）、公路（10%）</w:t>
            </w:r>
          </w:p>
        </w:tc>
      </w:tr>
      <w:tr w14:paraId="5E36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685" w:type="dxa"/>
            <w:vAlign w:val="center"/>
          </w:tcPr>
          <w:p w14:paraId="44EA8932">
            <w:pPr>
              <w:jc w:val="center"/>
              <w:rPr>
                <w:rFonts w:hint="default" w:ascii="Times New Roman" w:hAnsi="Times New Roman" w:eastAsia="宋体" w:cs="Times New Roman"/>
                <w:szCs w:val="21"/>
              </w:rPr>
            </w:pPr>
            <w:r>
              <w:rPr>
                <w:rFonts w:hint="default" w:ascii="Times New Roman" w:hAnsi="Times New Roman" w:eastAsia="宋体" w:cs="Times New Roman"/>
                <w:szCs w:val="21"/>
              </w:rPr>
              <w:t>0#柴油</w:t>
            </w:r>
          </w:p>
        </w:tc>
        <w:tc>
          <w:tcPr>
            <w:tcW w:w="1688" w:type="dxa"/>
            <w:vAlign w:val="center"/>
          </w:tcPr>
          <w:p w14:paraId="5A2FCD11">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1687" w:type="dxa"/>
            <w:vAlign w:val="center"/>
          </w:tcPr>
          <w:p w14:paraId="34B2B190">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管道（100%）</w:t>
            </w:r>
          </w:p>
        </w:tc>
        <w:tc>
          <w:tcPr>
            <w:tcW w:w="1336" w:type="dxa"/>
            <w:vAlign w:val="center"/>
          </w:tcPr>
          <w:p w14:paraId="786575CB">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24</w:t>
            </w:r>
          </w:p>
        </w:tc>
        <w:tc>
          <w:tcPr>
            <w:tcW w:w="2038" w:type="dxa"/>
            <w:shd w:val="clear" w:color="auto" w:fill="FFFFFF"/>
            <w:vAlign w:val="center"/>
          </w:tcPr>
          <w:p w14:paraId="037E6422">
            <w:pPr>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管输（9</w:t>
            </w:r>
            <w:r>
              <w:rPr>
                <w:rFonts w:hint="eastAsia" w:ascii="Times New Roman" w:hAnsi="Times New Roman" w:eastAsia="宋体" w:cs="Times New Roman"/>
                <w:szCs w:val="21"/>
                <w:lang w:val="en-US" w:eastAsia="zh-CN"/>
              </w:rPr>
              <w:t>0</w:t>
            </w:r>
            <w:r>
              <w:rPr>
                <w:rFonts w:hint="default" w:ascii="Times New Roman" w:hAnsi="Times New Roman" w:eastAsia="宋体" w:cs="Times New Roman"/>
                <w:szCs w:val="21"/>
                <w:lang w:val="en-US" w:eastAsia="zh-CN"/>
              </w:rPr>
              <w:t>%）、公路（</w:t>
            </w:r>
            <w:r>
              <w:rPr>
                <w:rFonts w:hint="eastAsia" w:ascii="Times New Roman" w:hAnsi="Times New Roman" w:eastAsia="宋体" w:cs="Times New Roman"/>
                <w:szCs w:val="21"/>
                <w:lang w:val="en-US" w:eastAsia="zh-CN"/>
              </w:rPr>
              <w:t>10</w:t>
            </w:r>
            <w:r>
              <w:rPr>
                <w:rFonts w:hint="default" w:ascii="Times New Roman" w:hAnsi="Times New Roman" w:eastAsia="宋体" w:cs="Times New Roman"/>
                <w:szCs w:val="21"/>
                <w:lang w:val="en-US" w:eastAsia="zh-CN"/>
              </w:rPr>
              <w:t>%）</w:t>
            </w:r>
          </w:p>
        </w:tc>
      </w:tr>
    </w:tbl>
    <w:p w14:paraId="44F811F5">
      <w:pPr>
        <w:numPr>
          <w:ilvl w:val="0"/>
          <w:numId w:val="0"/>
        </w:numPr>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eastAsia="宋体" w:cs="Times New Roman"/>
          <w:szCs w:val="21"/>
          <w:lang w:val="en-US" w:eastAsia="zh-CN"/>
        </w:rPr>
        <w:t>建设参数</w:t>
      </w:r>
    </w:p>
    <w:p w14:paraId="79D222D6">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本次设计将广州黄埔地区政府官方近几年气象统计资料作为罐体结构、输送管道及整体构筑物各项设计的基础依据：</w:t>
      </w:r>
    </w:p>
    <w:p w14:paraId="71CAE041">
      <w:pPr>
        <w:numPr>
          <w:ilvl w:val="0"/>
          <w:numId w:val="0"/>
        </w:numPr>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1.温度条件：</w:t>
      </w:r>
    </w:p>
    <w:p w14:paraId="71D55353">
      <w:pPr>
        <w:numPr>
          <w:ilvl w:val="0"/>
          <w:numId w:val="0"/>
        </w:numPr>
        <w:rPr>
          <w:rFonts w:hint="eastAsia" w:ascii="Times New Roman" w:hAnsi="Times New Roman" w:eastAsia="宋体" w:cs="Times New Roman"/>
          <w:color w:val="000000" w:themeColor="text1"/>
          <w:szCs w:val="21"/>
          <w:highlight w:val="none"/>
          <w:lang w:eastAsia="zh-CN"/>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年平均气温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22.6</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最热月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29.3</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最冷月</w:t>
      </w:r>
      <w:r>
        <w:rPr>
          <w:rFonts w:hint="default" w:ascii="Times New Roman" w:hAnsi="Times New Roman" w:eastAsia="宋体" w:cs="Times New Roman"/>
          <w:color w:val="000000" w:themeColor="text1"/>
          <w:szCs w:val="21"/>
          <w:highlight w:val="none"/>
          <w14:textFill>
            <w14:solidFill>
              <w14:schemeClr w14:val="tx1"/>
            </w14:solidFill>
          </w14:textFill>
        </w:rPr>
        <w:t>月平均气温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p>
    <w:p w14:paraId="6ED4D85A">
      <w:pPr>
        <w:numPr>
          <w:ilvl w:val="0"/>
          <w:numId w:val="0"/>
        </w:numPr>
        <w:rPr>
          <w:rFonts w:hint="default" w:ascii="Times New Roman" w:hAnsi="Times New Roman" w:eastAsia="宋体" w:cs="Times New Roman"/>
          <w:color w:val="000000" w:themeColor="text1"/>
          <w:szCs w:val="21"/>
          <w:highlight w:val="none"/>
          <w14:textFill>
            <w14:solidFill>
              <w14:schemeClr w14:val="tx1"/>
            </w14:solidFill>
          </w14:textFill>
        </w:rPr>
      </w:pPr>
      <w:r>
        <w:rPr>
          <w:rFonts w:hint="default" w:ascii="Times New Roman" w:hAnsi="Times New Roman" w:eastAsia="宋体" w:cs="Times New Roman"/>
          <w:color w:val="000000" w:themeColor="text1"/>
          <w:szCs w:val="21"/>
          <w:highlight w:val="none"/>
          <w14:textFill>
            <w14:solidFill>
              <w14:schemeClr w14:val="tx1"/>
            </w14:solidFill>
          </w14:textFill>
        </w:rPr>
        <w:t>绝对最高气温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39</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绝对最低气温</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1.8</w:t>
      </w:r>
      <w:r>
        <w:rPr>
          <w:rFonts w:hint="default" w:ascii="Times New Roman" w:hAnsi="Times New Roman" w:eastAsia="宋体" w:cs="Times New Roman"/>
          <w:color w:val="000000" w:themeColor="text1"/>
          <w:szCs w:val="21"/>
          <w:highlight w:val="none"/>
          <w14:textFill>
            <w14:solidFill>
              <w14:schemeClr w14:val="tx1"/>
            </w14:solidFill>
          </w14:textFill>
        </w:rPr>
        <w:t>℃</w:t>
      </w:r>
      <w:r>
        <w:rPr>
          <w:rFonts w:hint="eastAsia" w:ascii="Times New Roman" w:hAnsi="Times New Roman" w:eastAsia="宋体" w:cs="Times New Roman"/>
          <w:color w:val="000000" w:themeColor="text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Cs w:val="21"/>
          <w:highlight w:val="none"/>
          <w14:textFill>
            <w14:solidFill>
              <w14:schemeClr w14:val="tx1"/>
            </w14:solidFill>
          </w14:textFill>
        </w:rPr>
        <w:t>最低平均温度</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14.2</w:t>
      </w:r>
      <w:r>
        <w:rPr>
          <w:rFonts w:hint="default" w:ascii="Times New Roman" w:hAnsi="Times New Roman" w:eastAsia="宋体" w:cs="Times New Roman"/>
          <w:color w:val="000000" w:themeColor="text1"/>
          <w:szCs w:val="21"/>
          <w:highlight w:val="none"/>
          <w14:textFill>
            <w14:solidFill>
              <w14:schemeClr w14:val="tx1"/>
            </w14:solidFill>
          </w14:textFill>
        </w:rPr>
        <w:t>℃</w:t>
      </w:r>
    </w:p>
    <w:p w14:paraId="1F2784A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降雨量</w:t>
      </w:r>
      <w:r>
        <w:rPr>
          <w:rFonts w:hint="eastAsia" w:ascii="Times New Roman" w:hAnsi="Times New Roman" w:eastAsia="宋体" w:cs="Times New Roman"/>
          <w:szCs w:val="21"/>
          <w:lang w:eastAsia="zh-CN"/>
        </w:rPr>
        <w:t>：</w:t>
      </w:r>
    </w:p>
    <w:p w14:paraId="2FC742D6">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全年平均降雨量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2240</w:t>
      </w:r>
      <w:r>
        <w:rPr>
          <w:rFonts w:hint="default" w:ascii="Times New Roman" w:hAnsi="Times New Roman" w:eastAsia="宋体" w:cs="Times New Roman"/>
          <w:szCs w:val="21"/>
        </w:rPr>
        <w:t xml:space="preserve"> 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日最大降雨量</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346</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mm</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平均降雨天数</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153</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default" w:ascii="Times New Roman" w:hAnsi="Times New Roman" w:eastAsia="宋体" w:cs="Times New Roman"/>
          <w:szCs w:val="21"/>
        </w:rPr>
        <w:t>天</w:t>
      </w:r>
    </w:p>
    <w:p w14:paraId="46D32015">
      <w:pPr>
        <w:ind w:left="0" w:leftChars="0" w:firstLine="0" w:firstLineChars="0"/>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主导风向和风速</w:t>
      </w:r>
      <w:r>
        <w:rPr>
          <w:rFonts w:hint="eastAsia" w:ascii="Times New Roman" w:hAnsi="Times New Roman" w:eastAsia="宋体" w:cs="Times New Roman"/>
          <w:szCs w:val="21"/>
          <w:lang w:eastAsia="zh-CN"/>
        </w:rPr>
        <w:t>：</w:t>
      </w:r>
    </w:p>
    <w:p w14:paraId="7DFB8BEA">
      <w:pPr>
        <w:ind w:left="0" w:leftChars="0" w:firstLine="0" w:firstLineChars="0"/>
        <w:rPr>
          <w:rFonts w:hint="default" w:ascii="Times New Roman" w:hAnsi="Times New Roman" w:eastAsia="宋体" w:cs="Times New Roman"/>
          <w:szCs w:val="21"/>
        </w:rPr>
      </w:pPr>
      <w:r>
        <w:rPr>
          <w:rFonts w:hint="default" w:ascii="Times New Roman" w:hAnsi="Times New Roman" w:eastAsia="宋体" w:cs="Times New Roman"/>
          <w:szCs w:val="21"/>
        </w:rPr>
        <w:t>主导风向</w:t>
      </w:r>
      <w:r>
        <w:rPr>
          <w:rFonts w:hint="eastAsia" w:ascii="Times New Roman" w:hAnsi="Times New Roman" w:eastAsia="宋体" w:cs="Times New Roman"/>
          <w:szCs w:val="21"/>
          <w:lang w:val="en-US" w:eastAsia="zh-CN"/>
        </w:rPr>
        <w:t>偏北</w:t>
      </w:r>
      <w:r>
        <w:rPr>
          <w:rFonts w:hint="default" w:ascii="Times New Roman" w:hAnsi="Times New Roman" w:eastAsia="宋体" w:cs="Times New Roman"/>
          <w:szCs w:val="21"/>
        </w:rPr>
        <w:t>风</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年平均风速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2.0</w:t>
      </w:r>
      <w:r>
        <w:rPr>
          <w:rFonts w:hint="default" w:ascii="Times New Roman" w:hAnsi="Times New Roman" w:eastAsia="宋体" w:cs="Times New Roman"/>
          <w:szCs w:val="21"/>
        </w:rPr>
        <w:t xml:space="preserve"> m/s</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最大风速</w:t>
      </w:r>
      <w:r>
        <w:rPr>
          <w:rFonts w:hint="default" w:ascii="Times New Roman" w:hAnsi="Times New Roman" w:eastAsia="宋体" w:cs="Times New Roman"/>
          <w:color w:val="000000" w:themeColor="text1"/>
          <w:szCs w:val="21"/>
          <w:highlight w:val="none"/>
          <w:lang w:val="en-US" w:eastAsia="zh-CN"/>
          <w14:textFill>
            <w14:solidFill>
              <w14:schemeClr w14:val="tx1"/>
            </w14:solidFill>
          </w14:textFill>
        </w:rPr>
        <w:t xml:space="preserve"> </w:t>
      </w:r>
      <w:r>
        <w:rPr>
          <w:rFonts w:hint="eastAsia" w:ascii="Times New Roman" w:hAnsi="Times New Roman" w:eastAsia="宋体" w:cs="Times New Roman"/>
          <w:color w:val="000000" w:themeColor="text1"/>
          <w:szCs w:val="21"/>
          <w:highlight w:val="none"/>
          <w:lang w:val="en-US" w:eastAsia="zh-CN"/>
          <w14:textFill>
            <w14:solidFill>
              <w14:schemeClr w14:val="tx1"/>
            </w14:solidFill>
          </w14:textFill>
        </w:rPr>
        <w:t>32.8</w:t>
      </w:r>
      <w:r>
        <w:rPr>
          <w:rFonts w:hint="default" w:ascii="Times New Roman" w:hAnsi="Times New Roman" w:eastAsia="宋体" w:cs="Times New Roman"/>
          <w:szCs w:val="21"/>
        </w:rPr>
        <w:t xml:space="preserve"> m/s</w:t>
      </w:r>
    </w:p>
    <w:p w14:paraId="4C4DCC7C">
      <w:pPr>
        <w:pStyle w:val="23"/>
        <w:bidi w:val="0"/>
        <w:rPr>
          <w:rFonts w:hint="eastAsia"/>
          <w:lang w:val="en-US" w:eastAsia="zh-CN"/>
        </w:rPr>
      </w:pPr>
      <w:r>
        <w:rPr>
          <w:rFonts w:hint="eastAsia"/>
          <w:lang w:val="en-US" w:eastAsia="zh-CN"/>
        </w:rPr>
        <w:t>3</w:t>
      </w:r>
      <w:r>
        <w:rPr>
          <w:rFonts w:hint="eastAsia"/>
          <w:lang w:val="en-US"/>
        </w:rPr>
        <w:t>.1.</w:t>
      </w:r>
      <w:r>
        <w:rPr>
          <w:rFonts w:hint="eastAsia"/>
          <w:lang w:val="en-US" w:eastAsia="zh-CN"/>
        </w:rPr>
        <w:t>2</w:t>
      </w:r>
      <w:r>
        <w:rPr>
          <w:rFonts w:hint="eastAsia"/>
          <w:lang w:val="en-US"/>
        </w:rPr>
        <w:t xml:space="preserve"> </w:t>
      </w:r>
      <w:r>
        <w:rPr>
          <w:rFonts w:hint="eastAsia"/>
          <w:lang w:val="en-US" w:eastAsia="zh-CN"/>
        </w:rPr>
        <w:t>油品性质及收发油方式</w:t>
      </w:r>
    </w:p>
    <w:p w14:paraId="5FF00287">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 油品分类</w:t>
      </w:r>
    </w:p>
    <w:p w14:paraId="7BC0FE30">
      <w:pPr>
        <w:bidi w:val="0"/>
      </w:pPr>
      <w:r>
        <w:rPr>
          <w:rStyle w:val="18"/>
        </w:rPr>
        <w:t>根据现行《石油库设计规范》GB 50074—2014第3.0.3条，石油库储存液化烃、易燃和可燃液体的火灾危险性分类如下：甲A类为15℃时蒸气压力大于0.1 MPa的烃类液体及其他类似液体；甲B类为甲A类以外且闪点Ft＜28℃的液体；乙A类为28℃≤Ft＜45℃的液体；乙B类为45℃≤Ft＜60℃的液体；丙A类为60℃≤Ft≤120℃的液体；丙B类为Ft＞120℃的液体。</w:t>
      </w:r>
    </w:p>
    <w:p w14:paraId="62377403">
      <w:pPr>
        <w:bidi w:val="0"/>
      </w:pPr>
      <w:r>
        <w:t>92号汽油和95号汽油均属于甲A类以外、闪点低于28℃的成品油，故按甲B类液体进行设计。根据现行《车用柴油》GB 19147—2016及第1号修改单，0号车用柴油的闭口闪点不低于60℃；由于该标准仅规定闪点下限，设计阶段应核验供货质量证明或实测闪点，确认其处于60℃～120℃时方可按丙A类液体确定。若实测闪点高于120℃，则应按丙B类液体确定。</w:t>
      </w:r>
    </w:p>
    <w:p w14:paraId="35AA9F6F">
      <w:pPr>
        <w:bidi w:val="0"/>
      </w:pPr>
      <w:r>
        <w:t>根据现行《石油库设计规范》GB 50074—2014第3.0.4条，当丙A类液体的操作温度超过其实际闪点时，应将其视为乙A类液体。本设计0号柴油统一按常温储存、常温输送工况考虑，不设置加热储存和伴热输送设施；该条件仍应结合广州地区气象资料、储罐最低油温及到库柴油实际冷滤点进行校核。</w:t>
      </w:r>
    </w:p>
    <w:p w14:paraId="627D8EB1">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 92号汽油性质</w:t>
      </w:r>
    </w:p>
    <w:p w14:paraId="00231E12">
      <w:pPr>
        <w:bidi w:val="0"/>
      </w:pPr>
      <w:r>
        <w:t>根据现行《车用汽油》GB 17930—2016，92号汽油的研究法辛烷值不低于92，抗爆指数不低于87。“92号”表示汽油的研究法辛烷值等级，不表示汽油纯度、清洁程度或其他质量指标为92%。</w:t>
      </w:r>
    </w:p>
    <w:p w14:paraId="057D57CA">
      <w:pPr>
        <w:bidi w:val="0"/>
      </w:pPr>
      <w:r>
        <w:t>92号汽油闪点低、挥发性强，储存、输送和装车过程中容易产生油气。泄漏油气可能在管沟、地坑、排水井及通风不良区域积聚，遇明火、电气火花、静电火花或高温表面时存在燃烧、闪燃或爆炸风险。因此，储运过程中应重点控制油气逸散、静电积聚及跑冒滴漏。</w:t>
      </w:r>
    </w:p>
    <w:p w14:paraId="3FB57341">
      <w:pPr>
        <w:bidi w:val="0"/>
      </w:pPr>
      <w:r>
        <w:t>根据现行《石油库设计规范》GB 50074—2014第6.1.4条，储存甲B、乙A类原油和成品油可采用外浮顶储罐、内浮顶储罐或符合容量限制的卧式储罐。结合本项目汽油储存规模和周转量，92号汽油拟采用内浮顶储罐。根据该规范第6.4.9条，储罐进液不得采用喷溅方式；进液管从储罐上部接入时，应延伸至储罐底部。</w:t>
      </w:r>
    </w:p>
    <w:p w14:paraId="57FE8850">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 95号汽油性质</w:t>
      </w:r>
    </w:p>
    <w:p w14:paraId="4DAE4DE2">
      <w:pPr>
        <w:bidi w:val="0"/>
      </w:pPr>
      <w:r>
        <w:t>根据现行《车用汽油》GB 17930—2016，95号汽油的研究法辛烷值不低于95，抗爆指数不低于90。“95号”表示汽油的研究法辛烷值等级，不表示其纯度或清洁程度高于92号汽油。</w:t>
      </w:r>
    </w:p>
    <w:p w14:paraId="3A23C875">
      <w:pPr>
        <w:bidi w:val="0"/>
      </w:pPr>
      <w:r>
        <w:t>95号汽油与92号汽油均属于甲B类液体，挥发性和火灾危险性相近，其储罐形式、密闭要求、防雷防静电及汽车装车油气回收要求基本一致。结合本项目储存规模，95号汽油同样拟采用内浮顶储罐。</w:t>
      </w:r>
    </w:p>
    <w:p w14:paraId="53D261D5">
      <w:pPr>
        <w:bidi w:val="0"/>
      </w:pPr>
      <w:r>
        <w:t>92号和95号汽油应设置独立储罐、独立罐前支线及具有明确牌号标识的阀组。若部分进出库干线需要共用，应采用分批输送并制定油品切换、阀位确认、界面油识别、混油切割和单独接收方案。界面油不得直接进入合格成品油罐，应导入专用混油罐或经工艺确认的接收储罐，经取样检验和调合计算确认符合现行《车用汽油》GB 17930—2016或《车用柴油》GB 19147—2016及第1号修改单后方可并入相应成品油；不合格混油应回炼、重新加工或交由具备相应条件的单位处置。</w:t>
      </w:r>
    </w:p>
    <w:p w14:paraId="25D0E5DE">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 0号柴油性质</w:t>
      </w:r>
    </w:p>
    <w:p w14:paraId="68526840">
      <w:pPr>
        <w:bidi w:val="0"/>
      </w:pPr>
      <w:r>
        <w:t>根据现行《车用柴油》GB 19147—2016及第1号修改单，0号柴油在20℃时的密度为810～845 kg/m³，运动黏度为3.0～8.0 mm²/s，凝点不高于0℃，冷滤点不高于4℃，闭口闪点不低于60℃，十六烷值不低于51。</w:t>
      </w:r>
    </w:p>
    <w:p w14:paraId="1B392DF3">
      <w:pPr>
        <w:bidi w:val="0"/>
      </w:pPr>
      <w:r>
        <w:t>“0号”表示柴油按照凝点划分的牌号，不表示其十六烷值、硫含量或其他质量指标为零。凝点反映柴油在低温条件下逐渐失去流动性的温度特征，冷滤点则反映柴油在低温条件下通过过滤装置的能力。因此，应综合储罐最低油温、凝点和冷滤点校核常温输送条件，不能仅依据“0号”名称判断。</w:t>
      </w:r>
    </w:p>
    <w:p w14:paraId="67B25310">
      <w:pPr>
        <w:bidi w:val="0"/>
      </w:pPr>
      <w:r>
        <w:t>根据现行《石油库设计规范》GB 50074—2014第6.1.5条，储存乙B类和丙类液体可采用固定顶储罐或卧式储罐。结合本项目柴油储存规模和常温储运条件，0号柴油拟采用固定顶立式储罐，并设置罐底排水和发油过滤设施；过滤器应根据前后压差及设备制造商要求进行清洗或更换。</w:t>
      </w:r>
    </w:p>
    <w:p w14:paraId="12458CD8">
      <w:pPr>
        <w:numPr>
          <w:ilvl w:val="0"/>
          <w:numId w:val="0"/>
        </w:numPr>
        <w:ind w:firstLine="723"/>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5. 管道进库方式</w:t>
      </w:r>
    </w:p>
    <w:p w14:paraId="29C8A0F4">
      <w:pPr>
        <w:bidi w:val="0"/>
      </w:pPr>
      <w:r>
        <w:t>92号汽油、95号汽油和0号柴油均采用管道进库，三种油品分别进入对应储罐。本设计采用密闭进库工艺，避免不同牌号油品串入错误储罐。</w:t>
      </w:r>
    </w:p>
    <w:p w14:paraId="69E43B05">
      <w:pPr>
        <w:bidi w:val="0"/>
      </w:pPr>
      <w:r>
        <w:t>基本流程为：上游输油管道→进库截断阀→进库阀组→过滤及计量设施→取样点→油品分配阀组→对应油品储罐。</w:t>
      </w:r>
    </w:p>
    <w:p w14:paraId="149BC9A0">
      <w:pPr>
        <w:bidi w:val="0"/>
      </w:pPr>
      <w:r>
        <w:t>92号汽油设计年进库量为28万t，95号汽油为15万t，0号柴油为24万t。收油前应核对上游输送计划、油品牌号、输送批次、目标储罐、储罐可用容量、阀位及计量仪表状态，确认目标储罐具备安全接收容量且相关流程无检维修隔离后，方可启动收油。</w:t>
      </w:r>
    </w:p>
    <w:p w14:paraId="620E8A2B">
      <w:pPr>
        <w:bidi w:val="0"/>
      </w:pPr>
      <w:r>
        <w:t>根据现行《储油库大气污染物排放标准》GB 20950—2020第4.1.4条，汽油通过管道收油时管道应保持密闭；本设计0号柴油同样采用密闭管道进库。收油启动阶段采用低负荷运行，确认管线压力、流量、阀位和储罐液位变化正常后，再逐步提高至设计流量。根据现行《石油库设计规范》GB 50074—2014第15.1.1～15.1.4条，容量大于100 m³的储罐应设置液位远传及高、低液位报警；高高、低低液位报警及联锁应结合储罐容量、油品类别和年周转次数确定，不能笼统表述为所有储罐均强制设置。</w:t>
      </w:r>
    </w:p>
    <w:p w14:paraId="6CA5F2D0">
      <w:pPr>
        <w:bidi w:val="0"/>
      </w:pPr>
      <w:r>
        <w:t>不同油品共用上游干线分批输送时，应依据输送顺序、管道存油量、油品密度变化及取样检验结果识别界面油。汽油与柴油之间的混油，以及不同牌号汽油间不满足质量要求的混油，应导入专用混油罐或经工艺确认的接收储罐，不得直接进入合格成品油罐。</w:t>
      </w:r>
    </w:p>
    <w:p w14:paraId="5ED4CBED">
      <w:pPr>
        <w:bidi w:val="0"/>
      </w:pPr>
      <w:r>
        <w:t>收油过程中应连续监测进口压力、瞬时流量、累计流量、油品温度和目标储罐液位。出现进口压力异常升高、高高液位、管线泄漏或阀位异常时，应按“上游减量或停输—停泵—按设定时间关闭控制阀”的顺序处置，避免快速关阀产生水击。根据现行《石油库设计规范》GB 50074—2014第9.1.13条，可能超过设计压力的管段应设置泄压装置。收油结束后应核对计量数据和储罐液位变化量，完成泄压、阀门复位、泄漏检查、取样检验和作业记录。</w:t>
      </w:r>
    </w:p>
    <w:p w14:paraId="136A8CA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6. 管道出库方式</w:t>
      </w:r>
    </w:p>
    <w:p w14:paraId="7F169720">
      <w:pPr>
        <w:bidi w:val="0"/>
      </w:pPr>
      <w:r>
        <w:t>92号汽油管输比例为85%，管输出库量为23.8万t/a；95号汽油管输比例为90%，管输出库量为13.5万t/a；0号柴油管输比例为90%，管输出库量为21.6万t/a。三种油品的管输出库量分别核算，不与公路出库量混算。</w:t>
      </w:r>
    </w:p>
    <w:p w14:paraId="57765A85">
      <w:pPr>
        <w:bidi w:val="0"/>
      </w:pPr>
      <w:r>
        <w:t>本设计采用密闭管输出库工艺，基本流程为：</w:t>
      </w:r>
    </w:p>
    <w:p w14:paraId="41C580AF">
      <w:pPr>
        <w:bidi w:val="0"/>
      </w:pPr>
      <w:r>
        <w:t>储罐→罐前阀组→输油泵入口管道→输油泵→过滤设施→计量设施→出库阀组→库外输油管道。</w:t>
      </w:r>
    </w:p>
    <w:p w14:paraId="54D94B98">
      <w:pPr>
        <w:bidi w:val="0"/>
      </w:pPr>
      <w:r>
        <w:t>管输出库前应核对油品牌号、发油储罐、接收单位、外输管线、计划输送量和阀门状态，并检查储罐液位、输油泵入口条件、过滤器压差、计量仪表及泄压设施。根据现行《储油库大气污染物排放标准》GB 20950—2020第4.3.4条，汽油采用管道方式发油时管道应保持密闭；根据现行《石油库设计规范》GB 50074—2014第15.1.8条，易燃和可燃液体输送泵出口管道应设置压力测量仪表。</w:t>
      </w:r>
    </w:p>
    <w:p w14:paraId="76F3AC3F">
      <w:pPr>
        <w:bidi w:val="0"/>
      </w:pPr>
      <w:r>
        <w:t>本设计拟在规范最低要求基础上设置泵入口低压报警、泵入口低低压联锁停泵、泵出口高压报警和高高压联锁停泵，设定值应依据泵允许吸入条件、管道水力计算、管道设计压力及接收端允许压力确定。出口压力异常升高时，应先减量或联锁停泵，再按水力计算确定的关闭时间关闭控制阀；封闭管段可能因温升产生热膨胀超压时，应设置热力泄压措施。储罐达到低液位报警值时，应准备切换储罐或停止发油；低低液位联锁停泵的设置应符合现行《石油库设计规范》GB 50074—2014第15.1.3条，并可根据风险分析扩大保护范围。</w:t>
      </w:r>
    </w:p>
    <w:p w14:paraId="7559EF13">
      <w:pPr>
        <w:bidi w:val="0"/>
      </w:pPr>
      <w:r>
        <w:t>三种油品应设置独立罐前支线和阀组。共用外输干线时，应采用分批输送，做好界面油识别、切割、计量和单独回收。管输结束后应按顺序降低流量、停泵、关闭阀门并完成管线泄压，随后核对计量数据、储罐液位变化和接收方数据，检查泵、阀门、法兰、过滤器及管线是否泄漏。</w:t>
      </w:r>
    </w:p>
    <w:p w14:paraId="0E01C65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 公路出库方式</w:t>
      </w:r>
    </w:p>
    <w:p w14:paraId="4592F628">
      <w:pPr>
        <w:bidi w:val="0"/>
      </w:pPr>
      <w:r>
        <w:t>92号汽油公路出库比例为15%，年公路出库量为4.2万t；95号汽油公路出库比例为10%，年公路出库量为1.5万t；0号柴油公路出库比例为10%，年公路出库量为2.4万t。三种油品的公路出库量分别计量和核算。</w:t>
      </w:r>
    </w:p>
    <w:p w14:paraId="324BE5F8">
      <w:pPr>
        <w:bidi w:val="0"/>
      </w:pPr>
      <w:r>
        <w:t>本设计采用定量装车工艺，基本流程为：</w:t>
      </w:r>
    </w:p>
    <w:p w14:paraId="51CB14E2">
      <w:pPr>
        <w:bidi w:val="0"/>
      </w:pPr>
      <w:r>
        <w:t>储罐→公路发油泵→过滤设施→流量计→定量控制阀→底部装车鹤管→汽车罐车。</w:t>
      </w:r>
    </w:p>
    <w:p w14:paraId="1A9B2A53">
      <w:pPr>
        <w:bidi w:val="0"/>
      </w:pPr>
      <w:r>
        <w:t>装车前应完成车辆资质、罐体适装性、油品牌号、罐车仓号、允许装载量、静电接地、防溢流接口和油气回收接口检查。根据现行《石油库设计规范》GB 50074—2014第14.3.8条，甲、乙和丙A类液体汽车罐车装卸设施应设置与罐车跨接的防静电接地装置；根据第14.3.12条，宜采用能够检测接地状态的防静电接地仪。接地、防溢流和阀位信号未确认时，不得启动装车。</w:t>
      </w:r>
    </w:p>
    <w:p w14:paraId="28305E80">
      <w:pPr>
        <w:bidi w:val="0"/>
      </w:pPr>
      <w:r>
        <w:t>根据现行《储油库大气污染物排放标准》GB 20950—2020第4.3.1.1～4.3.1.3条及第4.3.5.2条，92号和95号汽油汽车发油应采用底部密闭装车，装车油气应密闭收集并送入油气处理装置，底部发油及油气回收快速接头应采用自封式接头，并设置防溢流系统。该标准第3.2条所定义的控制油品不包括本项目0号柴油，因此不能将汽油油气回收条款直接作为柴油的强制要求；本设计0号柴油仍采用底部装车，以减少喷溅、滴漏和静电产生。</w:t>
      </w:r>
    </w:p>
    <w:p w14:paraId="1555FED3">
      <w:pPr>
        <w:bidi w:val="0"/>
      </w:pPr>
      <w:r>
        <w:t>根据现行《储油库大气污染物排放标准》GB 20950—2020第4.3.1.4条，汽油装车时油气收集系统应保持正压，且压力不得超过6.0 kPa；根据第4.3.1.5条，断开底部发油快速接头时的油品滴洒量不得超过10 mL。现行《石油库设计规范》GB 50074—2014第8.2.8条规定的“鹤管口浸没前流速不大于1 m/s、浸没后不大于4.5 m/s”仅适用于上装鹤管，不直接作为底部装车的强制限值。底部装车的初始、正常和末端减速流量应依据装车系统设计确定。</w:t>
      </w:r>
    </w:p>
    <w:p w14:paraId="64F5C59A">
      <w:pPr>
        <w:bidi w:val="0"/>
      </w:pPr>
      <w:r>
        <w:t>定量装车系统应联锁核对提油单、油品牌号、鹤位、罐车仓号、允许装载量、静电接地及防溢流状态，任一条件不满足时禁止装车。达到预设装载量或防溢流装置动作时，应按顺序关闭定量控制阀并联锁停泵。装车结束后应完成管线泄压并确认接口无明显滴漏，再依次拆除装油接头、油气回收接头和静电接地装置。</w:t>
      </w:r>
    </w:p>
    <w:p w14:paraId="64F5C59A">
      <w:pPr>
        <w:bidi w:val="0"/>
      </w:pPr>
      <w:r>
        <w:t>8. 运行维护与检查要求</w:t>
      </w:r>
    </w:p>
    <w:p w14:paraId="64F5C59A">
      <w:pPr>
        <w:bidi w:val="0"/>
      </w:pPr>
      <w:r>
        <w:t>收发油系统运行期间，应定期检查输油泵、阀门、法兰、过滤器、流量计、静电接地装置、防溢流装置、油气回收设施、液位报警及联锁功能。过滤器应依据前后压差和设备制造商要求维护，流量计应按计量管理要求检定或校准，高高液位、低低液位、压力报警、紧急停泵和阀门联锁应定期开展功能测试并保留记录。</w:t>
      </w:r>
    </w:p>
    <w:p w14:paraId="64F5C59A">
      <w:pPr>
        <w:bidi w:val="0"/>
      </w:pPr>
      <w:r>
        <w:t>根据现行《储油库大气污染物排放标准》GB 20950—2020第4.4条，装载适用油品的设备、管线组件及油气收集系统应按照现行《挥发性有机物无组织排放控制标准》GB 37822—2019开展泄漏检测与修复。发现泄漏、静电接地失效、防溢流故障、油气回收系统异常或联锁功能失效时，应停止相关作业，待故障排除并确认安全后方可恢复运行。</w:t>
      </w:r>
    </w:p>
    <w:p w14:paraId="163E2BE1">
      <w:pPr>
        <w:pStyle w:val="23"/>
        <w:bidi w:val="0"/>
        <w:rPr>
          <w:rFonts w:hint="default"/>
          <w:lang w:val="en-US" w:eastAsia="zh-CN"/>
        </w:rPr>
      </w:pPr>
      <w:r>
        <w:rPr>
          <w:rFonts w:hint="eastAsia"/>
          <w:lang w:val="en-US" w:eastAsia="zh-CN"/>
        </w:rPr>
        <w:t>3.2油库的总平面设计</w:t>
      </w:r>
      <w:bookmarkStart w:id="8" w:name="_GoBack"/>
      <w:bookmarkEnd w:id="8"/>
    </w:p>
    <w:p w14:paraId="44339110">
      <w:pPr>
        <w:pStyle w:val="20"/>
        <w:widowControl w:val="0"/>
        <w:autoSpaceDE/>
        <w:autoSpaceDN/>
        <w:spacing w:before="240" w:after="120" w:line="360" w:lineRule="auto"/>
        <w:ind w:firstLine="480" w:firstLineChars="200"/>
        <w:outlineLvl w:val="3"/>
        <w:rPr>
          <w:rFonts w:hint="eastAsia" w:ascii="黑体" w:eastAsia="黑体"/>
          <w:color w:val="auto"/>
          <w:spacing w:val="0"/>
          <w:highlight w:val="none"/>
          <w:lang w:val="en-US"/>
        </w:rPr>
      </w:pPr>
    </w:p>
    <w:p w14:paraId="4EF096A4">
      <w:pPr>
        <w:spacing w:line="360" w:lineRule="auto"/>
        <w:jc w:val="center"/>
        <w:rPr>
          <w:rFonts w:hint="eastAsia" w:ascii="宋体" w:hAnsi="宋体" w:cs="宋体"/>
          <w:color w:val="auto"/>
          <w:highlight w:val="none"/>
          <w:lang w:val="en-US"/>
        </w:rPr>
        <w:sectPr>
          <w:footerReference r:id="rId16" w:type="first"/>
          <w:footerReference r:id="rId1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2831"/>
        <w:gridCol w:w="2832"/>
      </w:tblGrid>
      <w:tr w14:paraId="6B3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494" w:type="dxa"/>
            <w:gridSpan w:val="3"/>
            <w:tcBorders>
              <w:top w:val="nil"/>
              <w:left w:val="nil"/>
              <w:bottom w:val="single" w:color="auto" w:sz="4" w:space="0"/>
              <w:right w:val="nil"/>
            </w:tcBorders>
          </w:tcPr>
          <w:p w14:paraId="12C94BD3">
            <w:pPr>
              <w:spacing w:line="360" w:lineRule="auto"/>
              <w:jc w:val="center"/>
              <w:rPr>
                <w:color w:val="auto"/>
                <w:highlight w:val="none"/>
                <w:lang w:val="en-US"/>
              </w:rPr>
            </w:pPr>
            <w:r>
              <w:rPr>
                <w:rFonts w:hint="eastAsia" w:ascii="宋体" w:hAnsi="宋体" w:eastAsia="宋体" w:cs="宋体"/>
                <w:b/>
                <w:bCs/>
                <w:color w:val="auto"/>
                <w:sz w:val="22"/>
                <w:szCs w:val="22"/>
                <w:highlight w:val="none"/>
              </w:rPr>
              <mc:AlternateContent>
                <mc:Choice Requires="wps">
                  <w:drawing>
                    <wp:anchor distT="0" distB="0" distL="114300" distR="114300" simplePos="0" relativeHeight="251660288" behindDoc="0" locked="0" layoutInCell="1" allowOverlap="1">
                      <wp:simplePos x="0" y="0"/>
                      <wp:positionH relativeFrom="column">
                        <wp:posOffset>3275965</wp:posOffset>
                      </wp:positionH>
                      <wp:positionV relativeFrom="paragraph">
                        <wp:posOffset>45720</wp:posOffset>
                      </wp:positionV>
                      <wp:extent cx="1974850" cy="276860"/>
                      <wp:effectExtent l="6350" t="6350" r="19050" b="21590"/>
                      <wp:wrapNone/>
                      <wp:docPr id="57" name="文本框 57"/>
                      <wp:cNvGraphicFramePr/>
                      <a:graphic xmlns:a="http://schemas.openxmlformats.org/drawingml/2006/main">
                        <a:graphicData uri="http://schemas.microsoft.com/office/word/2010/wordprocessingShape">
                          <wps:wsp>
                            <wps:cNvSpPr txBox="1"/>
                            <wps:spPr>
                              <a:xfrm>
                                <a:off x="0" y="0"/>
                                <a:ext cx="1974850" cy="27686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95pt;margin-top:3.6pt;height:21.8pt;width:155.5pt;z-index:251660288;mso-width-relative:page;mso-height-relative:page;" filled="f" stroked="t" coordsize="21600,21600" o:gfxdata="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zJfcLXAAAACAEAAA8AAAAAAAAAAQAg&#10;AAAAIgAAAGRycy9kb3ducmV2LnhtbFBLAQIUABQAAAAIAIdO4kB2tuImgQIAAOMEAAAOAAAAAAAA&#10;AAEAIAAAACYBAABkcnMvZTJvRG9jLnhtbFBLBQYAAAAABgAGAFkBAAAZBgAAAAA=&#10;">
                      <v:fill on="f" focussize="0,0"/>
                      <v:stroke weight="1pt" color="#ED7D31 [3205]" miterlimit="8" joinstyle="miter"/>
                      <v:imagedata o:title=""/>
                      <o:lock v:ext="edit" aspectratio="f"/>
                      <v:textbox>
                        <w:txbxContent>
                          <w:p w14:paraId="1D3456E5">
                            <w:pPr>
                              <w:rPr>
                                <w:rFonts w:hint="default" w:eastAsia="宋体"/>
                                <w:lang w:val="en-US" w:eastAsia="zh-CN"/>
                              </w:rPr>
                            </w:pPr>
                            <w:r>
                              <w:rPr>
                                <w:rFonts w:hint="eastAsia" w:ascii="宋体" w:hAnsi="宋体" w:eastAsia="宋体" w:cs="宋体"/>
                                <w:color w:val="FF0000"/>
                                <w:lang w:val="en-US"/>
                              </w:rPr>
                              <w:t>表注：宋体11号</w:t>
                            </w:r>
                            <w:r>
                              <w:rPr>
                                <w:rFonts w:hint="eastAsia" w:ascii="宋体" w:hAnsi="宋体" w:eastAsia="宋体" w:cs="宋体"/>
                                <w:color w:val="FF0000"/>
                                <w:lang w:val="en-US" w:eastAsia="zh-CN"/>
                              </w:rPr>
                              <w:t>，加粗，居中</w:t>
                            </w:r>
                          </w:p>
                        </w:txbxContent>
                      </v:textbox>
                    </v:shape>
                  </w:pict>
                </mc:Fallback>
              </mc:AlternateContent>
            </w:r>
            <w:r>
              <w:rPr>
                <w:rFonts w:hint="eastAsia" w:ascii="宋体" w:hAnsi="宋体" w:eastAsia="宋体" w:cs="宋体"/>
                <w:b/>
                <w:bCs/>
                <w:color w:val="auto"/>
                <w:sz w:val="22"/>
                <w:szCs w:val="22"/>
                <w:highlight w:val="none"/>
                <w:lang w:val="en-US"/>
              </w:rPr>
              <w:t>表1  ****</w:t>
            </w:r>
          </w:p>
        </w:tc>
      </w:tr>
      <w:tr w14:paraId="55FA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Borders>
              <w:top w:val="single" w:color="auto" w:sz="4" w:space="0"/>
            </w:tcBorders>
          </w:tcPr>
          <w:p w14:paraId="36D2D24A">
            <w:pPr>
              <w:pStyle w:val="20"/>
              <w:widowControl w:val="0"/>
              <w:spacing w:line="360" w:lineRule="auto"/>
              <w:ind w:firstLine="0" w:firstLineChars="0"/>
              <w:jc w:val="center"/>
              <w:rPr>
                <w:rFonts w:ascii="宋体" w:hAnsi="宋体" w:eastAsia="宋体" w:cs="宋体"/>
                <w:color w:val="auto"/>
                <w:spacing w:val="0"/>
                <w:sz w:val="22"/>
                <w:szCs w:val="22"/>
                <w:highlight w:val="none"/>
              </w:rPr>
            </w:pPr>
            <w:r>
              <w:rPr>
                <w:rFonts w:hint="eastAsia" w:ascii="宋体" w:hAnsi="宋体" w:eastAsia="宋体" w:cs="宋体"/>
                <w:color w:val="auto"/>
                <w:spacing w:val="0"/>
                <w:sz w:val="22"/>
                <w:szCs w:val="22"/>
                <w:highlight w:val="none"/>
                <w:lang w:val="en-US"/>
              </w:rPr>
              <w:t>金刚石</w:t>
            </w:r>
            <w:r>
              <w:rPr>
                <w:rFonts w:hint="eastAsia" w:ascii="宋体" w:hAnsi="宋体" w:eastAsia="宋体" w:cs="宋体"/>
                <w:color w:val="auto"/>
                <w:sz w:val="22"/>
                <w:szCs w:val="22"/>
                <w:highlight w:val="none"/>
                <w:lang w:val="en-US"/>
              </w:rPr>
              <w:t>（宋体11号）</w:t>
            </w:r>
          </w:p>
        </w:tc>
        <w:tc>
          <w:tcPr>
            <w:tcW w:w="2831" w:type="dxa"/>
            <w:tcBorders>
              <w:top w:val="single" w:color="auto" w:sz="4" w:space="0"/>
            </w:tcBorders>
          </w:tcPr>
          <w:p w14:paraId="3C48CD35">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2" w:type="dxa"/>
            <w:tcBorders>
              <w:top w:val="single" w:color="auto" w:sz="4" w:space="0"/>
            </w:tcBorders>
          </w:tcPr>
          <w:p w14:paraId="4DCB7512">
            <w:pPr>
              <w:pStyle w:val="20"/>
              <w:widowControl w:val="0"/>
              <w:spacing w:line="360" w:lineRule="auto"/>
              <w:ind w:firstLine="480"/>
              <w:jc w:val="both"/>
              <w:rPr>
                <w:rFonts w:ascii="宋体" w:hAnsi="宋体" w:eastAsia="宋体" w:cs="宋体"/>
                <w:color w:val="auto"/>
                <w:spacing w:val="0"/>
                <w:sz w:val="22"/>
                <w:szCs w:val="22"/>
                <w:highlight w:val="none"/>
              </w:rPr>
            </w:pPr>
          </w:p>
        </w:tc>
      </w:tr>
      <w:tr w14:paraId="541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1" w:type="dxa"/>
          </w:tcPr>
          <w:p w14:paraId="0FD01A54">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1" w:type="dxa"/>
          </w:tcPr>
          <w:p w14:paraId="7D98CFB6">
            <w:pPr>
              <w:pStyle w:val="20"/>
              <w:widowControl w:val="0"/>
              <w:spacing w:line="360" w:lineRule="auto"/>
              <w:ind w:firstLine="480"/>
              <w:jc w:val="both"/>
              <w:rPr>
                <w:rFonts w:ascii="宋体" w:hAnsi="宋体" w:eastAsia="宋体" w:cs="宋体"/>
                <w:color w:val="auto"/>
                <w:spacing w:val="0"/>
                <w:sz w:val="22"/>
                <w:szCs w:val="22"/>
                <w:highlight w:val="none"/>
              </w:rPr>
            </w:pPr>
          </w:p>
        </w:tc>
        <w:tc>
          <w:tcPr>
            <w:tcW w:w="2832" w:type="dxa"/>
          </w:tcPr>
          <w:p w14:paraId="01815D20">
            <w:pPr>
              <w:pStyle w:val="20"/>
              <w:widowControl w:val="0"/>
              <w:spacing w:line="360" w:lineRule="auto"/>
              <w:ind w:firstLine="480"/>
              <w:jc w:val="both"/>
              <w:rPr>
                <w:rFonts w:ascii="宋体" w:hAnsi="宋体" w:eastAsia="宋体" w:cs="宋体"/>
                <w:color w:val="auto"/>
                <w:spacing w:val="0"/>
                <w:sz w:val="22"/>
                <w:szCs w:val="22"/>
                <w:highlight w:val="none"/>
              </w:rPr>
            </w:pPr>
          </w:p>
        </w:tc>
      </w:tr>
    </w:tbl>
    <w:p w14:paraId="18FA3BAF">
      <w:pPr>
        <w:pStyle w:val="20"/>
        <w:widowControl w:val="0"/>
        <w:spacing w:line="360" w:lineRule="auto"/>
        <w:ind w:firstLine="480"/>
        <w:rPr>
          <w:color w:val="auto"/>
          <w:spacing w:val="0"/>
          <w:highlight w:val="none"/>
        </w:rPr>
      </w:pPr>
    </w:p>
    <w:p w14:paraId="6BA5D875">
      <w:pPr>
        <w:pStyle w:val="20"/>
        <w:widowControl w:val="0"/>
        <w:spacing w:line="360" w:lineRule="auto"/>
        <w:ind w:firstLine="480"/>
        <w:rPr>
          <w:color w:val="auto"/>
          <w:spacing w:val="0"/>
          <w:highlight w:val="none"/>
        </w:rPr>
      </w:pPr>
    </w:p>
    <w:p w14:paraId="08975D6F">
      <w:pPr>
        <w:pStyle w:val="20"/>
        <w:widowControl w:val="0"/>
        <w:spacing w:line="360" w:lineRule="auto"/>
        <w:ind w:firstLine="480"/>
        <w:rPr>
          <w:color w:val="auto"/>
          <w:spacing w:val="0"/>
          <w:highlight w:val="none"/>
        </w:rPr>
      </w:pPr>
    </w:p>
    <w:p w14:paraId="5D8CA79E">
      <w:pPr>
        <w:pStyle w:val="20"/>
        <w:widowControl w:val="0"/>
        <w:spacing w:line="360" w:lineRule="auto"/>
        <w:ind w:firstLine="480"/>
        <w:rPr>
          <w:color w:val="auto"/>
          <w:spacing w:val="0"/>
          <w:highlight w:val="none"/>
        </w:rPr>
      </w:pPr>
    </w:p>
    <w:p w14:paraId="5043A8B7">
      <w:pPr>
        <w:pStyle w:val="20"/>
        <w:widowControl w:val="0"/>
        <w:spacing w:line="360" w:lineRule="auto"/>
        <w:ind w:firstLine="480"/>
        <w:rPr>
          <w:color w:val="auto"/>
          <w:spacing w:val="0"/>
          <w:highlight w:val="none"/>
        </w:rPr>
      </w:pPr>
    </w:p>
    <w:p w14:paraId="0215C9C5">
      <w:pPr>
        <w:pStyle w:val="20"/>
        <w:widowControl w:val="0"/>
        <w:spacing w:line="360" w:lineRule="auto"/>
        <w:ind w:firstLine="480"/>
        <w:rPr>
          <w:color w:val="auto"/>
          <w:spacing w:val="0"/>
          <w:highlight w:val="none"/>
        </w:rPr>
      </w:pPr>
    </w:p>
    <w:p w14:paraId="3C51806F">
      <w:pPr>
        <w:pStyle w:val="20"/>
        <w:widowControl w:val="0"/>
        <w:spacing w:line="360" w:lineRule="auto"/>
        <w:ind w:firstLine="480"/>
        <w:rPr>
          <w:color w:val="auto"/>
          <w:spacing w:val="0"/>
          <w:highlight w:val="none"/>
        </w:rPr>
      </w:pPr>
    </w:p>
    <w:p w14:paraId="00A04923">
      <w:pPr>
        <w:pStyle w:val="20"/>
        <w:widowControl w:val="0"/>
        <w:spacing w:line="360" w:lineRule="auto"/>
        <w:ind w:firstLine="480"/>
        <w:rPr>
          <w:color w:val="auto"/>
          <w:spacing w:val="0"/>
          <w:highlight w:val="none"/>
        </w:rPr>
      </w:pPr>
    </w:p>
    <w:p w14:paraId="2C7D08B3">
      <w:pPr>
        <w:pStyle w:val="20"/>
        <w:widowControl w:val="0"/>
        <w:spacing w:line="360" w:lineRule="auto"/>
        <w:ind w:firstLine="480"/>
        <w:rPr>
          <w:color w:val="auto"/>
          <w:spacing w:val="0"/>
          <w:highlight w:val="none"/>
        </w:rPr>
      </w:pPr>
    </w:p>
    <w:p w14:paraId="12BC8597">
      <w:pPr>
        <w:pStyle w:val="20"/>
        <w:widowControl w:val="0"/>
        <w:spacing w:line="360" w:lineRule="auto"/>
        <w:ind w:firstLine="480"/>
        <w:rPr>
          <w:color w:val="auto"/>
          <w:spacing w:val="0"/>
          <w:highlight w:val="none"/>
        </w:rPr>
      </w:pPr>
    </w:p>
    <w:p w14:paraId="19812A35">
      <w:pPr>
        <w:pStyle w:val="20"/>
        <w:widowControl w:val="0"/>
        <w:spacing w:line="360" w:lineRule="auto"/>
        <w:ind w:firstLine="480"/>
        <w:rPr>
          <w:color w:val="auto"/>
          <w:spacing w:val="0"/>
          <w:highlight w:val="none"/>
        </w:rPr>
      </w:pPr>
    </w:p>
    <w:p w14:paraId="7F327F23">
      <w:pPr>
        <w:pStyle w:val="20"/>
        <w:widowControl w:val="0"/>
        <w:spacing w:line="360" w:lineRule="auto"/>
        <w:ind w:firstLine="480"/>
        <w:rPr>
          <w:color w:val="auto"/>
          <w:spacing w:val="0"/>
          <w:highlight w:val="none"/>
        </w:rPr>
      </w:pPr>
    </w:p>
    <w:p w14:paraId="722EA95F">
      <w:pPr>
        <w:pStyle w:val="20"/>
        <w:widowControl w:val="0"/>
        <w:spacing w:line="360" w:lineRule="auto"/>
        <w:ind w:firstLine="480"/>
        <w:rPr>
          <w:color w:val="auto"/>
          <w:spacing w:val="0"/>
          <w:highlight w:val="none"/>
        </w:rPr>
      </w:pPr>
    </w:p>
    <w:p w14:paraId="3144D8F9">
      <w:pPr>
        <w:pStyle w:val="20"/>
        <w:widowControl w:val="0"/>
        <w:spacing w:line="360" w:lineRule="auto"/>
        <w:ind w:firstLine="480"/>
        <w:rPr>
          <w:color w:val="auto"/>
          <w:spacing w:val="0"/>
          <w:highlight w:val="none"/>
        </w:rPr>
      </w:pPr>
    </w:p>
    <w:p w14:paraId="3264EA42">
      <w:pPr>
        <w:pStyle w:val="20"/>
        <w:widowControl w:val="0"/>
        <w:spacing w:line="360" w:lineRule="auto"/>
        <w:ind w:firstLine="480"/>
        <w:rPr>
          <w:color w:val="auto"/>
          <w:spacing w:val="0"/>
          <w:highlight w:val="none"/>
        </w:rPr>
      </w:pPr>
    </w:p>
    <w:p w14:paraId="2B8F126C">
      <w:pPr>
        <w:pStyle w:val="20"/>
        <w:widowControl w:val="0"/>
        <w:spacing w:line="360" w:lineRule="auto"/>
        <w:ind w:firstLine="480"/>
        <w:rPr>
          <w:color w:val="auto"/>
          <w:spacing w:val="0"/>
          <w:highlight w:val="none"/>
        </w:rPr>
      </w:pPr>
    </w:p>
    <w:p w14:paraId="6868BD1C">
      <w:pPr>
        <w:pStyle w:val="20"/>
        <w:widowControl w:val="0"/>
        <w:spacing w:line="360" w:lineRule="auto"/>
        <w:ind w:firstLine="480"/>
        <w:rPr>
          <w:color w:val="auto"/>
          <w:spacing w:val="0"/>
          <w:highlight w:val="none"/>
        </w:rPr>
      </w:pPr>
    </w:p>
    <w:p w14:paraId="3002DA0E">
      <w:pPr>
        <w:pStyle w:val="20"/>
        <w:widowControl w:val="0"/>
        <w:spacing w:line="360" w:lineRule="auto"/>
        <w:ind w:firstLine="480"/>
        <w:rPr>
          <w:color w:val="auto"/>
          <w:spacing w:val="0"/>
          <w:highlight w:val="none"/>
        </w:rPr>
      </w:pPr>
    </w:p>
    <w:p w14:paraId="41445715">
      <w:pPr>
        <w:pStyle w:val="20"/>
        <w:widowControl w:val="0"/>
        <w:spacing w:line="360" w:lineRule="auto"/>
        <w:ind w:firstLine="480"/>
        <w:rPr>
          <w:color w:val="auto"/>
          <w:spacing w:val="0"/>
          <w:highlight w:val="none"/>
        </w:rPr>
      </w:pPr>
    </w:p>
    <w:p w14:paraId="39DDF6FC">
      <w:pPr>
        <w:pStyle w:val="20"/>
        <w:widowControl w:val="0"/>
        <w:spacing w:line="360" w:lineRule="auto"/>
        <w:ind w:firstLine="480"/>
        <w:rPr>
          <w:color w:val="auto"/>
          <w:spacing w:val="0"/>
          <w:highlight w:val="none"/>
        </w:rPr>
      </w:pPr>
    </w:p>
    <w:p w14:paraId="19D49AFD">
      <w:pPr>
        <w:pStyle w:val="20"/>
        <w:widowControl w:val="0"/>
        <w:spacing w:line="360" w:lineRule="auto"/>
        <w:ind w:firstLine="480"/>
        <w:rPr>
          <w:color w:val="auto"/>
          <w:spacing w:val="0"/>
          <w:highlight w:val="none"/>
        </w:rPr>
      </w:pPr>
    </w:p>
    <w:p w14:paraId="17B6BCC4">
      <w:pPr>
        <w:pStyle w:val="20"/>
        <w:widowControl w:val="0"/>
        <w:spacing w:line="360" w:lineRule="auto"/>
        <w:ind w:firstLine="480"/>
        <w:rPr>
          <w:color w:val="auto"/>
          <w:spacing w:val="0"/>
          <w:highlight w:val="none"/>
        </w:rPr>
      </w:pPr>
    </w:p>
    <w:p w14:paraId="2B697FE2">
      <w:pPr>
        <w:pStyle w:val="20"/>
        <w:widowControl w:val="0"/>
        <w:spacing w:line="360" w:lineRule="auto"/>
        <w:ind w:firstLine="480"/>
        <w:rPr>
          <w:color w:val="auto"/>
          <w:spacing w:val="0"/>
          <w:highlight w:val="none"/>
        </w:rPr>
      </w:pPr>
    </w:p>
    <w:p w14:paraId="68BFFBE6">
      <w:pPr>
        <w:pStyle w:val="20"/>
        <w:widowControl w:val="0"/>
        <w:spacing w:line="360" w:lineRule="auto"/>
        <w:ind w:firstLine="480"/>
        <w:rPr>
          <w:color w:val="auto"/>
          <w:spacing w:val="0"/>
          <w:highlight w:val="none"/>
        </w:rPr>
      </w:pPr>
    </w:p>
    <w:p w14:paraId="4E5FF238">
      <w:pPr>
        <w:autoSpaceDE/>
        <w:autoSpaceDN/>
        <w:spacing w:before="321" w:beforeLines="100" w:after="321" w:afterLines="100" w:line="360" w:lineRule="auto"/>
        <w:jc w:val="center"/>
        <w:outlineLvl w:val="0"/>
        <w:rPr>
          <w:rFonts w:hint="eastAsia" w:ascii="黑体" w:eastAsia="黑体"/>
          <w:b/>
          <w:bCs/>
          <w:color w:val="auto"/>
          <w:sz w:val="32"/>
          <w:szCs w:val="32"/>
          <w:highlight w:val="none"/>
          <w:lang w:val="en-US" w:eastAsia="zh-CN"/>
        </w:rPr>
      </w:pPr>
      <w:bookmarkStart w:id="5" w:name="_Toc5403"/>
      <w:r>
        <w:rPr>
          <w:rFonts w:hint="eastAsia" w:ascii="黑体" w:eastAsia="黑体"/>
          <w:b/>
          <w:bCs/>
          <w:color w:val="auto"/>
          <w:sz w:val="32"/>
          <w:szCs w:val="32"/>
          <w:highlight w:val="none"/>
          <w:lang w:val="en-US" w:eastAsia="zh-CN"/>
        </w:rPr>
        <w:t>6</w:t>
      </w:r>
      <w:r>
        <w:rPr>
          <w:rFonts w:hint="eastAsia" w:ascii="黑体" w:eastAsia="黑体"/>
          <w:b/>
          <w:bCs/>
          <w:color w:val="auto"/>
          <w:sz w:val="32"/>
          <w:szCs w:val="32"/>
          <w:highlight w:val="none"/>
          <w:lang w:val="en-US"/>
        </w:rPr>
        <w:t xml:space="preserve"> 结</w:t>
      </w:r>
      <w:bookmarkEnd w:id="5"/>
      <w:r>
        <w:rPr>
          <w:rFonts w:hint="eastAsia" w:ascii="黑体" w:eastAsia="黑体"/>
          <w:b/>
          <w:bCs/>
          <w:color w:val="auto"/>
          <w:sz w:val="32"/>
          <w:szCs w:val="32"/>
          <w:highlight w:val="none"/>
          <w:lang w:val="en-US" w:eastAsia="zh-CN"/>
        </w:rPr>
        <w:t>论</w:t>
      </w:r>
    </w:p>
    <w:p w14:paraId="32AFBBAD">
      <w:pPr>
        <w:pStyle w:val="20"/>
        <w:widowControl w:val="0"/>
        <w:spacing w:line="360" w:lineRule="auto"/>
        <w:ind w:firstLine="480"/>
        <w:rPr>
          <w:color w:val="auto"/>
          <w:spacing w:val="0"/>
          <w:highlight w:val="none"/>
        </w:rPr>
      </w:pPr>
      <w:r>
        <w:rPr>
          <w:rFonts w:hint="eastAsia"/>
          <w:color w:val="auto"/>
          <w:spacing w:val="0"/>
          <w:highlight w:val="none"/>
        </w:rPr>
        <w:t>…………</w:t>
      </w:r>
    </w:p>
    <w:p w14:paraId="094789C4">
      <w:pPr>
        <w:pStyle w:val="20"/>
        <w:widowControl w:val="0"/>
        <w:spacing w:line="360" w:lineRule="auto"/>
        <w:ind w:firstLine="480"/>
        <w:rPr>
          <w:color w:val="auto"/>
          <w:spacing w:val="0"/>
          <w:highlight w:val="none"/>
        </w:rPr>
      </w:pPr>
      <w:r>
        <w:rPr>
          <w:rFonts w:hint="eastAsia"/>
          <w:color w:val="auto"/>
          <w:spacing w:val="0"/>
          <w:highlight w:val="none"/>
        </w:rPr>
        <w:t>…………</w:t>
      </w:r>
    </w:p>
    <w:p w14:paraId="01E01B78">
      <w:pPr>
        <w:autoSpaceDE/>
        <w:autoSpaceDN/>
        <w:spacing w:before="480" w:after="360" w:line="360" w:lineRule="auto"/>
        <w:outlineLvl w:val="0"/>
        <w:rPr>
          <w:rFonts w:ascii="黑体" w:eastAsia="黑体"/>
          <w:color w:val="auto"/>
          <w:sz w:val="32"/>
          <w:szCs w:val="32"/>
          <w:highlight w:val="none"/>
        </w:rPr>
      </w:pPr>
    </w:p>
    <w:p w14:paraId="1EFDDF1E">
      <w:pPr>
        <w:pStyle w:val="2"/>
        <w:autoSpaceDE/>
        <w:autoSpaceDN/>
        <w:spacing w:before="642" w:beforeLines="200" w:after="481" w:afterLines="150"/>
        <w:ind w:left="0"/>
        <w:jc w:val="center"/>
        <w:rPr>
          <w:rFonts w:hint="eastAsia"/>
          <w:b w:val="0"/>
          <w:bCs w:val="0"/>
          <w:color w:val="auto"/>
          <w:kern w:val="44"/>
          <w:szCs w:val="14"/>
          <w:highlight w:val="none"/>
          <w:lang w:val="en-US" w:bidi="ar"/>
        </w:rPr>
        <w:sectPr>
          <w:footerReference r:id="rId18" w:type="first"/>
          <w:footerReference r:id="rId17" w:type="default"/>
          <w:footnotePr>
            <w:numFmt w:val="decimalEnclosedCircleChinese"/>
            <w:numRestart w:val="eachPage"/>
          </w:footnotePr>
          <w:pgSz w:w="11906" w:h="16838"/>
          <w:pgMar w:top="1701" w:right="1134" w:bottom="1417" w:left="1417" w:header="907" w:footer="850" w:gutter="0"/>
          <w:pgNumType w:fmt="numberInDash"/>
          <w:cols w:space="720" w:num="1"/>
          <w:docGrid w:type="lines" w:linePitch="321" w:charSpace="0"/>
        </w:sectPr>
      </w:pPr>
    </w:p>
    <w:p w14:paraId="417F6925">
      <w:pPr>
        <w:keepNext w:val="0"/>
        <w:keepLines w:val="0"/>
        <w:pageBreakBefore w:val="0"/>
        <w:widowControl w:val="0"/>
        <w:kinsoku/>
        <w:wordWrap/>
        <w:overflowPunct/>
        <w:topLinePunct w:val="0"/>
        <w:autoSpaceDE/>
        <w:autoSpaceDN/>
        <w:bidi w:val="0"/>
        <w:adjustRightInd w:val="0"/>
        <w:snapToGrid/>
        <w:spacing w:before="313" w:beforeLines="100" w:after="313" w:afterLines="100" w:line="240" w:lineRule="auto"/>
        <w:textAlignment w:val="baseline"/>
        <w:outlineLvl w:val="0"/>
        <w:rPr>
          <w:rFonts w:hint="eastAsia" w:asciiTheme="majorEastAsia" w:hAnsiTheme="majorEastAsia" w:eastAsiaTheme="majorEastAsia" w:cstheme="majorEastAsia"/>
          <w:b/>
          <w:bCs/>
          <w:color w:val="auto"/>
          <w:sz w:val="36"/>
          <w:szCs w:val="36"/>
          <w:highlight w:val="none"/>
        </w:rPr>
      </w:pPr>
      <w:bookmarkStart w:id="6" w:name="_Toc12073"/>
      <w:r>
        <w:rPr>
          <w:rFonts w:hint="eastAsia" w:asciiTheme="majorEastAsia" w:hAnsiTheme="majorEastAsia" w:eastAsiaTheme="majorEastAsia" w:cstheme="majorEastAsia"/>
          <w:b/>
          <w:bCs/>
          <w:color w:val="auto"/>
          <w:kern w:val="44"/>
          <w:sz w:val="36"/>
          <w:szCs w:val="36"/>
          <w:highlight w:val="none"/>
          <w:lang w:val="en-US" w:bidi="ar"/>
        </w:rPr>
        <mc:AlternateContent>
          <mc:Choice Requires="wps">
            <w:drawing>
              <wp:anchor distT="0" distB="0" distL="114300" distR="114300" simplePos="0" relativeHeight="251661312" behindDoc="0" locked="0" layoutInCell="1" allowOverlap="1">
                <wp:simplePos x="0" y="0"/>
                <wp:positionH relativeFrom="column">
                  <wp:posOffset>3730625</wp:posOffset>
                </wp:positionH>
                <wp:positionV relativeFrom="paragraph">
                  <wp:posOffset>-63500</wp:posOffset>
                </wp:positionV>
                <wp:extent cx="2249805" cy="500380"/>
                <wp:effectExtent l="6350" t="6350" r="10795" b="7620"/>
                <wp:wrapNone/>
                <wp:docPr id="63" name="文本框 63"/>
                <wp:cNvGraphicFramePr/>
                <a:graphic xmlns:a="http://schemas.openxmlformats.org/drawingml/2006/main">
                  <a:graphicData uri="http://schemas.microsoft.com/office/word/2010/wordprocessingShape">
                    <wps:wsp>
                      <wps:cNvSpPr txBox="1"/>
                      <wps:spPr>
                        <a:xfrm>
                          <a:off x="0" y="0"/>
                          <a:ext cx="2249805" cy="500380"/>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75pt;margin-top:-5pt;height:39.4pt;width:177.15pt;z-index:251661312;mso-width-relative:page;mso-height-relative:page;" filled="f" stroked="t" coordsize="21600,21600" o:gfxdata="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W5a/fZAAAACgEAAA8AAAAAAAAA&#10;AQAgAAAAIgAAAGRycy9kb3ducmV2LnhtbFBLAQIUABQAAAAIAIdO4kAQEJuHggIAAOMEAAAOAAAA&#10;AAAAAAEAIAAAACgBAABkcnMvZTJvRG9jLnhtbFBLBQYAAAAABgAGAFkBAAAcBgAAAAA=&#10;">
                <v:fill on="f" focussize="0,0"/>
                <v:stroke weight="1pt" color="#ED7D31 [3205]" miterlimit="8" joinstyle="miter"/>
                <v:imagedata o:title=""/>
                <o:lock v:ext="edit" aspectratio="f"/>
                <v:textbox>
                  <w:txbxContent>
                    <w:p w14:paraId="5FE66AB2">
                      <w:pPr>
                        <w:rPr>
                          <w:sz w:val="20"/>
                          <w:szCs w:val="20"/>
                          <w:lang w:val="en-US"/>
                        </w:rPr>
                      </w:pPr>
                      <w:r>
                        <w:rPr>
                          <w:rFonts w:hint="eastAsia" w:ascii="黑体" w:hAnsi="黑体" w:eastAsia="黑体" w:cs="黑体"/>
                          <w:color w:val="FF0000"/>
                          <w:sz w:val="24"/>
                          <w:szCs w:val="24"/>
                          <w:lang w:val="en-US" w:eastAsia="zh-CN"/>
                        </w:rPr>
                        <w:t>宋体</w:t>
                      </w:r>
                      <w:r>
                        <w:rPr>
                          <w:rFonts w:hint="eastAsia" w:ascii="黑体" w:hAnsi="黑体" w:eastAsia="黑体" w:cs="黑体"/>
                          <w:color w:val="FF0000"/>
                          <w:sz w:val="24"/>
                          <w:szCs w:val="24"/>
                          <w:lang w:val="en-US"/>
                        </w:rPr>
                        <w:t>，</w:t>
                      </w:r>
                      <w:r>
                        <w:rPr>
                          <w:rFonts w:hint="eastAsia" w:ascii="黑体" w:hAnsi="黑体" w:eastAsia="黑体" w:cs="黑体"/>
                          <w:color w:val="FF0000"/>
                          <w:sz w:val="24"/>
                          <w:szCs w:val="24"/>
                          <w:lang w:val="en-US" w:eastAsia="zh-CN"/>
                        </w:rPr>
                        <w:t>小二</w:t>
                      </w:r>
                      <w:r>
                        <w:rPr>
                          <w:rFonts w:hint="eastAsia" w:ascii="黑体" w:hAnsi="黑体" w:eastAsia="黑体" w:cs="黑体"/>
                          <w:color w:val="FF0000"/>
                          <w:sz w:val="24"/>
                          <w:szCs w:val="24"/>
                          <w:lang w:val="en-US"/>
                        </w:rPr>
                        <w:t>号，居中，</w:t>
                      </w:r>
                      <w:r>
                        <w:rPr>
                          <w:rFonts w:hint="eastAsia" w:ascii="黑体" w:hAnsi="黑体" w:eastAsia="黑体" w:cs="黑体"/>
                          <w:color w:val="FF0000"/>
                          <w:sz w:val="24"/>
                          <w:szCs w:val="24"/>
                          <w:lang w:val="en-US" w:eastAsia="zh-CN"/>
                        </w:rPr>
                        <w:t>加粗,</w:t>
                      </w:r>
                      <w:r>
                        <w:rPr>
                          <w:rFonts w:hint="eastAsia" w:ascii="黑体" w:hAnsi="黑体" w:eastAsia="黑体" w:cs="黑体"/>
                          <w:color w:val="FF0000"/>
                          <w:sz w:val="24"/>
                          <w:szCs w:val="24"/>
                          <w:lang w:val="en-US"/>
                        </w:rPr>
                        <w:t>段前</w:t>
                      </w:r>
                      <w:r>
                        <w:rPr>
                          <w:rFonts w:hint="eastAsia" w:ascii="黑体" w:hAnsi="黑体" w:eastAsia="黑体" w:cs="黑体"/>
                          <w:color w:val="FF0000"/>
                          <w:sz w:val="24"/>
                          <w:szCs w:val="24"/>
                          <w:lang w:val="en-US" w:eastAsia="zh-CN"/>
                        </w:rPr>
                        <w:t>段后各空一行,</w:t>
                      </w:r>
                      <w:r>
                        <w:rPr>
                          <w:rFonts w:hint="eastAsia" w:ascii="黑体" w:hAnsi="黑体" w:eastAsia="黑体" w:cs="黑体"/>
                          <w:color w:val="FF0000"/>
                          <w:sz w:val="24"/>
                          <w:szCs w:val="24"/>
                          <w:lang w:val="en-US"/>
                        </w:rPr>
                        <w:t>单倍行距</w:t>
                      </w:r>
                    </w:p>
                  </w:txbxContent>
                </v:textbox>
              </v:shape>
            </w:pict>
          </mc:Fallback>
        </mc:AlternateContent>
      </w:r>
      <w:r>
        <w:rPr>
          <w:rFonts w:hint="eastAsia" w:asciiTheme="majorEastAsia" w:hAnsiTheme="majorEastAsia" w:eastAsiaTheme="majorEastAsia" w:cstheme="majorEastAsia"/>
          <w:b/>
          <w:bCs/>
          <w:color w:val="auto"/>
          <w:sz w:val="36"/>
          <w:szCs w:val="36"/>
          <w:highlight w:val="none"/>
          <w:lang w:val="en-US"/>
        </w:rPr>
        <w:t>主要</w:t>
      </w:r>
      <w:r>
        <w:rPr>
          <w:rFonts w:hint="eastAsia" w:asciiTheme="majorEastAsia" w:hAnsiTheme="majorEastAsia" w:eastAsiaTheme="majorEastAsia" w:cstheme="majorEastAsia"/>
          <w:b/>
          <w:bCs/>
          <w:color w:val="auto"/>
          <w:sz w:val="36"/>
          <w:szCs w:val="36"/>
          <w:highlight w:val="none"/>
        </w:rPr>
        <w:t>参考文献</w:t>
      </w:r>
      <w:bookmarkEnd w:id="6"/>
    </w:p>
    <w:p w14:paraId="4D4C9934">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rPr>
      </w:pPr>
      <w:r>
        <w:rPr>
          <w:rFonts w:hint="default" w:ascii="Times New Roman" w:hAnsi="Times New Roman" w:eastAsia="宋体" w:cs="Times New Roman"/>
          <w:color w:val="auto"/>
          <w:highlight w:val="none"/>
        </w:rPr>
        <w:t>[1]</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姜锡洲.一种温热外敷药制备方法</w:t>
      </w:r>
      <w:r>
        <w:rPr>
          <w:rFonts w:hint="default" w:ascii="Times New Roman" w:hAnsi="Times New Roman" w:eastAsia="宋体" w:cs="Times New Roman"/>
          <w:color w:val="auto"/>
          <w:highlight w:val="none"/>
        </w:rPr>
        <w:t>[P]</w:t>
      </w:r>
      <w:r>
        <w:rPr>
          <w:rFonts w:hint="eastAsia" w:ascii="宋体" w:hAnsi="宋体" w:eastAsia="宋体" w:cs="宋体"/>
          <w:color w:val="auto"/>
          <w:highlight w:val="none"/>
        </w:rPr>
        <w:t>.中国专利，</w:t>
      </w:r>
      <w:r>
        <w:rPr>
          <w:rFonts w:hint="default" w:ascii="Times New Roman" w:hAnsi="Times New Roman" w:eastAsia="宋体" w:cs="Times New Roman"/>
          <w:color w:val="auto"/>
          <w:sz w:val="21"/>
          <w:szCs w:val="21"/>
          <w:highlight w:val="none"/>
          <w:lang w:val="en-US"/>
        </w:rPr>
        <w:t>881056073，1980-07</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26.</w:t>
      </w:r>
    </w:p>
    <w:p w14:paraId="60ED8AA5">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rPr>
        <w:t>[2]</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竺可桢.物理学</w:t>
      </w:r>
      <w:r>
        <w:rPr>
          <w:rFonts w:hint="default" w:ascii="Times New Roman" w:hAnsi="Times New Roman" w:eastAsia="宋体" w:cs="Times New Roman"/>
          <w:color w:val="auto"/>
          <w:highlight w:val="none"/>
        </w:rPr>
        <w:t>[M].</w:t>
      </w:r>
      <w:r>
        <w:rPr>
          <w:rFonts w:hint="eastAsia" w:ascii="宋体" w:hAnsi="宋体" w:eastAsia="宋体" w:cs="宋体"/>
          <w:color w:val="auto"/>
          <w:highlight w:val="none"/>
        </w:rPr>
        <w:t>北京：科学出版社，</w:t>
      </w:r>
      <w:r>
        <w:rPr>
          <w:rFonts w:hint="default" w:ascii="Times New Roman" w:hAnsi="Times New Roman" w:eastAsia="宋体" w:cs="Times New Roman"/>
          <w:color w:val="auto"/>
          <w:sz w:val="21"/>
          <w:szCs w:val="21"/>
          <w:highlight w:val="none"/>
          <w:lang w:val="en-US"/>
        </w:rPr>
        <w:t>1973. 56</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60.</w:t>
      </w:r>
    </w:p>
    <w:p w14:paraId="7E0DFA3F">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3</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郑开青</w:t>
      </w:r>
      <w:r>
        <w:rPr>
          <w:rFonts w:hint="eastAsia" w:ascii="宋体" w:hAnsi="宋体" w:eastAsia="宋体" w:cs="宋体"/>
          <w:color w:val="auto"/>
          <w:highlight w:val="none"/>
          <w:lang w:val="en-US"/>
        </w:rPr>
        <w:t>.</w:t>
      </w:r>
      <w:r>
        <w:rPr>
          <w:rFonts w:hint="eastAsia" w:ascii="宋体" w:hAnsi="宋体" w:eastAsia="宋体" w:cs="宋体"/>
          <w:color w:val="auto"/>
          <w:highlight w:val="none"/>
        </w:rPr>
        <w:t>通讯系统模拟及软件</w:t>
      </w:r>
      <w:r>
        <w:rPr>
          <w:rFonts w:hint="default" w:ascii="Times New Roman" w:hAnsi="Times New Roman" w:eastAsia="宋体" w:cs="Times New Roman"/>
          <w:color w:val="auto"/>
          <w:highlight w:val="none"/>
          <w:lang w:val="en-US"/>
        </w:rPr>
        <w:t>[D].</w:t>
      </w:r>
      <w:r>
        <w:rPr>
          <w:rFonts w:hint="eastAsia" w:ascii="宋体" w:hAnsi="宋体" w:eastAsia="宋体" w:cs="宋体"/>
          <w:color w:val="auto"/>
          <w:highlight w:val="none"/>
        </w:rPr>
        <w:t>北京</w:t>
      </w:r>
      <w:r>
        <w:rPr>
          <w:rFonts w:hint="eastAsia" w:ascii="宋体" w:hAnsi="宋体" w:eastAsia="宋体" w:cs="宋体"/>
          <w:color w:val="auto"/>
          <w:highlight w:val="none"/>
          <w:lang w:val="en-US"/>
        </w:rPr>
        <w:t>：</w:t>
      </w:r>
      <w:r>
        <w:rPr>
          <w:rFonts w:hint="eastAsia" w:ascii="宋体" w:hAnsi="宋体" w:eastAsia="宋体" w:cs="宋体"/>
          <w:color w:val="auto"/>
          <w:highlight w:val="none"/>
        </w:rPr>
        <w:t>清华大学无线电系</w:t>
      </w:r>
      <w:r>
        <w:rPr>
          <w:rFonts w:hint="eastAsia" w:ascii="宋体" w:hAnsi="宋体" w:eastAsia="宋体" w:cs="宋体"/>
          <w:color w:val="auto"/>
          <w:highlight w:val="none"/>
          <w:lang w:val="en-US"/>
        </w:rPr>
        <w:t>，</w:t>
      </w:r>
      <w:r>
        <w:rPr>
          <w:rFonts w:hint="default" w:ascii="Times New Roman" w:hAnsi="Times New Roman" w:eastAsia="宋体" w:cs="Times New Roman"/>
          <w:color w:val="auto"/>
          <w:sz w:val="21"/>
          <w:szCs w:val="21"/>
          <w:highlight w:val="none"/>
          <w:lang w:val="en-US"/>
        </w:rPr>
        <w:t>1987.</w:t>
      </w:r>
    </w:p>
    <w:p w14:paraId="0D3CEAFA">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宋体" w:hAnsi="宋体" w:eastAsia="宋体" w:cs="宋体"/>
          <w:color w:val="auto"/>
          <w:highlight w:val="none"/>
          <w:lang w:eastAsia="zh-CN"/>
        </w:rPr>
      </w:pP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4</w:t>
      </w:r>
      <w:r>
        <w:rPr>
          <w:rFonts w:hint="default" w:ascii="Times New Roman" w:hAnsi="Times New Roman" w:eastAsia="宋体" w:cs="Times New Roman"/>
          <w:color w:val="auto"/>
          <w:highlight w:val="none"/>
        </w:rPr>
        <w:t>]</w:t>
      </w:r>
      <w:r>
        <w:rPr>
          <w:rFonts w:hint="eastAsia" w:ascii="Times New Roman" w:hAnsi="Times New Roman" w:eastAsia="宋体" w:cs="Times New Roman"/>
          <w:color w:val="auto"/>
          <w:highlight w:val="none"/>
          <w:lang w:val="en-US" w:eastAsia="zh-CN"/>
        </w:rPr>
        <w:t xml:space="preserve"> </w:t>
      </w:r>
      <w:r>
        <w:rPr>
          <w:rFonts w:hint="eastAsia" w:ascii="宋体" w:hAnsi="宋体" w:eastAsia="宋体" w:cs="宋体"/>
          <w:color w:val="auto"/>
          <w:highlight w:val="none"/>
        </w:rPr>
        <w:t>张昆</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冯立群，余昌钰，等.机器人柔性手腕的球面齿轮设计研究[J].清华大学学报，</w:t>
      </w:r>
      <w:r>
        <w:rPr>
          <w:rFonts w:hint="default" w:ascii="Times New Roman" w:hAnsi="Times New Roman" w:eastAsia="宋体" w:cs="Times New Roman"/>
          <w:color w:val="auto"/>
          <w:sz w:val="21"/>
          <w:szCs w:val="21"/>
          <w:highlight w:val="none"/>
          <w:lang w:val="en-US"/>
        </w:rPr>
        <w:t>1994，34（2）：1</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7.</w:t>
      </w:r>
    </w:p>
    <w:p w14:paraId="1224F1E9">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hint="eastAsia" w:ascii="宋体" w:hAnsi="宋体" w:eastAsia="宋体" w:cs="宋体"/>
          <w:color w:val="auto"/>
          <w:highlight w:val="none"/>
        </w:rPr>
      </w:pPr>
    </w:p>
    <w:p w14:paraId="703613F3">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53F3A524">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中华人民共和国国家技术监督局.</w:t>
      </w:r>
      <w:r>
        <w:rPr>
          <w:rFonts w:hint="eastAsia" w:ascii="Times New Roman" w:hAnsi="Times New Roman" w:eastAsia="宋体" w:cs="Times New Roman"/>
          <w:color w:val="auto"/>
          <w:sz w:val="21"/>
          <w:szCs w:val="21"/>
          <w:highlight w:val="none"/>
          <w:lang w:val="en-US"/>
        </w:rPr>
        <w:t>GB3100~3102.</w:t>
      </w:r>
      <w:r>
        <w:rPr>
          <w:rFonts w:hint="eastAsia" w:ascii="宋体" w:hAnsi="宋体" w:eastAsia="宋体" w:cs="宋体"/>
          <w:color w:val="auto"/>
          <w:highlight w:val="none"/>
        </w:rPr>
        <w:t>中华人民共和国国家标准－量和单位</w:t>
      </w:r>
      <w:r>
        <w:rPr>
          <w:rFonts w:hint="default" w:ascii="Times New Roman" w:hAnsi="Times New Roman" w:eastAsia="宋体" w:cs="Times New Roman"/>
          <w:color w:val="auto"/>
          <w:highlight w:val="none"/>
        </w:rPr>
        <w:t>[S].</w:t>
      </w:r>
      <w:r>
        <w:rPr>
          <w:rFonts w:hint="eastAsia" w:ascii="宋体" w:hAnsi="宋体" w:eastAsia="宋体" w:cs="宋体"/>
          <w:color w:val="auto"/>
          <w:highlight w:val="none"/>
        </w:rPr>
        <w:t>北京：</w:t>
      </w:r>
    </w:p>
    <w:p w14:paraId="1A949623">
      <w:pPr>
        <w:keepNext w:val="0"/>
        <w:keepLines w:val="0"/>
        <w:pageBreakBefore w:val="0"/>
        <w:widowControl w:val="0"/>
        <w:numPr>
          <w:ilvl w:val="0"/>
          <w:numId w:val="1"/>
        </w:numPr>
        <w:kinsoku/>
        <w:wordWrap/>
        <w:overflowPunct/>
        <w:topLinePunct w:val="0"/>
        <w:autoSpaceDE/>
        <w:autoSpaceDN/>
        <w:bidi w:val="0"/>
        <w:adjustRightInd w:val="0"/>
        <w:snapToGrid w:val="0"/>
        <w:spacing w:before="60" w:line="320" w:lineRule="exact"/>
        <w:ind w:left="480" w:leftChars="200" w:firstLine="0" w:firstLineChars="0"/>
        <w:textAlignment w:val="auto"/>
        <w:rPr>
          <w:rFonts w:hint="eastAsia" w:ascii="Times New Roman" w:hAnsi="Times New Roman" w:eastAsia="宋体" w:cs="Times New Roman"/>
          <w:color w:val="auto"/>
          <w:sz w:val="21"/>
          <w:szCs w:val="21"/>
          <w:highlight w:val="none"/>
          <w:lang w:val="en-US"/>
        </w:rPr>
      </w:pPr>
      <w:r>
        <w:rPr>
          <w:rFonts w:hint="eastAsia" w:ascii="宋体" w:hAnsi="宋体" w:eastAsia="宋体" w:cs="宋体"/>
          <w:color w:val="auto"/>
          <w:highlight w:val="none"/>
        </w:rPr>
        <w:t>中国标准出版社，</w:t>
      </w:r>
      <w:r>
        <w:rPr>
          <w:rFonts w:hint="eastAsia" w:ascii="Times New Roman" w:hAnsi="Times New Roman" w:eastAsia="宋体" w:cs="Times New Roman"/>
          <w:color w:val="auto"/>
          <w:sz w:val="21"/>
          <w:szCs w:val="21"/>
          <w:highlight w:val="none"/>
          <w:lang w:val="en-US"/>
        </w:rPr>
        <w:t>1994-11</w:t>
      </w:r>
      <w:r>
        <w:rPr>
          <w:rFonts w:hint="eastAsia" w:ascii="Times New Roman" w:hAnsi="Times New Roman" w:eastAsia="宋体" w:cs="Times New Roman"/>
          <w:color w:val="auto"/>
          <w:sz w:val="21"/>
          <w:szCs w:val="21"/>
          <w:highlight w:val="none"/>
          <w:lang w:val="en-US" w:eastAsia="zh-CN"/>
        </w:rPr>
        <w:t>-</w:t>
      </w:r>
      <w:r>
        <w:rPr>
          <w:rFonts w:hint="eastAsia" w:ascii="Times New Roman" w:hAnsi="Times New Roman" w:eastAsia="宋体" w:cs="Times New Roman"/>
          <w:color w:val="auto"/>
          <w:sz w:val="21"/>
          <w:szCs w:val="21"/>
          <w:highlight w:val="none"/>
          <w:lang w:val="en-US"/>
        </w:rPr>
        <w:t>01.</w:t>
      </w:r>
    </w:p>
    <w:p w14:paraId="4AC721A4">
      <w:pPr>
        <w:keepNext w:val="0"/>
        <w:keepLines w:val="0"/>
        <w:pageBreakBefore w:val="0"/>
        <w:widowControl w:val="0"/>
        <w:kinsoku/>
        <w:wordWrap/>
        <w:overflowPunct/>
        <w:topLinePunct w:val="0"/>
        <w:autoSpaceDE/>
        <w:autoSpaceDN/>
        <w:bidi w:val="0"/>
        <w:adjustRightInd w:val="0"/>
        <w:snapToGrid w:val="0"/>
        <w:spacing w:before="60" w:after="0" w:line="320" w:lineRule="exact"/>
        <w:ind w:left="440" w:hanging="480" w:hangingChars="200"/>
        <w:textAlignment w:val="auto"/>
        <w:rPr>
          <w:rFonts w:ascii="宋体" w:hAnsi="宋体" w:eastAsia="宋体" w:cs="宋体"/>
          <w:color w:val="auto"/>
          <w:highlight w:val="none"/>
        </w:rPr>
      </w:pPr>
      <w:r>
        <w:rPr>
          <w:rFonts w:hint="eastAsia" w:ascii="宋体" w:hAnsi="宋体" w:eastAsia="宋体" w:cs="宋体"/>
          <w:color w:val="auto"/>
          <w:highlight w:val="none"/>
        </w:rPr>
        <w:t>……</w:t>
      </w:r>
    </w:p>
    <w:p w14:paraId="6358A471">
      <w:pPr>
        <w:keepNext w:val="0"/>
        <w:keepLines w:val="0"/>
        <w:pageBreakBefore w:val="0"/>
        <w:widowControl w:val="0"/>
        <w:kinsoku/>
        <w:wordWrap/>
        <w:overflowPunct/>
        <w:topLinePunct w:val="0"/>
        <w:autoSpaceDE/>
        <w:autoSpaceDN/>
        <w:bidi w:val="0"/>
        <w:adjustRightInd w:val="0"/>
        <w:snapToGrid w:val="0"/>
        <w:spacing w:before="60" w:line="320" w:lineRule="exact"/>
        <w:ind w:left="480" w:leftChars="200" w:firstLine="0" w:firstLineChars="0"/>
        <w:textAlignment w:val="auto"/>
        <w:rPr>
          <w:rFonts w:ascii="宋体" w:hAnsi="宋体" w:eastAsia="宋体" w:cs="宋体"/>
          <w:color w:val="auto"/>
          <w:highlight w:val="none"/>
          <w:lang w:val="en-US"/>
        </w:rPr>
      </w:pP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15</w:t>
      </w:r>
      <w:r>
        <w:rPr>
          <w:rFonts w:hint="default" w:ascii="Times New Roman" w:hAnsi="Times New Roman" w:eastAsia="宋体" w:cs="Times New Roman"/>
          <w:color w:val="auto"/>
          <w:highlight w:val="none"/>
          <w:lang w:val="en-US"/>
        </w:rPr>
        <w:t>]</w:t>
      </w:r>
      <w:r>
        <w:rPr>
          <w:rFonts w:hint="eastAsia" w:ascii="Times New Roman" w:hAnsi="Times New Roman" w:eastAsia="宋体" w:cs="Times New Roman"/>
          <w:color w:val="auto"/>
          <w:highlight w:val="none"/>
          <w:lang w:val="en-US" w:eastAsia="zh-CN"/>
        </w:rPr>
        <w:t xml:space="preserve"> </w:t>
      </w:r>
      <w:r>
        <w:rPr>
          <w:rFonts w:hint="default" w:ascii="Times New Roman" w:hAnsi="Times New Roman" w:eastAsia="宋体" w:cs="Times New Roman"/>
          <w:color w:val="auto"/>
          <w:sz w:val="21"/>
          <w:szCs w:val="21"/>
          <w:highlight w:val="none"/>
          <w:lang w:val="en-US"/>
        </w:rPr>
        <w:t>Dupont B.</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Bone marrow transplantation in severe combined immunodeficiency with an unrelated</w:t>
      </w:r>
      <w:r>
        <w:rPr>
          <w:rFonts w:hint="eastAsia" w:ascii="Times New Roman" w:hAnsi="Times New Roman" w:eastAsia="宋体" w:cs="Times New Roman"/>
          <w:color w:val="auto"/>
          <w:sz w:val="21"/>
          <w:szCs w:val="21"/>
          <w:highlight w:val="none"/>
          <w:lang w:val="en-US" w:eastAsia="zh-CN"/>
        </w:rPr>
        <w:t xml:space="preserve"> </w:t>
      </w:r>
      <w:r>
        <w:rPr>
          <w:rFonts w:hint="default" w:ascii="Times New Roman" w:hAnsi="Times New Roman" w:eastAsia="宋体" w:cs="Times New Roman"/>
          <w:color w:val="auto"/>
          <w:sz w:val="21"/>
          <w:szCs w:val="21"/>
          <w:highlight w:val="none"/>
          <w:lang w:val="en-US"/>
        </w:rPr>
        <w:t>MLC compatible donor[C]. In: White H J, Smith R, eds. Proceedings of the Third Annual Meeting of the International Society for Experimental Hematology. Houston: International Society for Experimental Hematology, 1974. 44</w:t>
      </w:r>
      <w:r>
        <w:rPr>
          <w:rFonts w:hint="eastAsia"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rPr>
        <w:t>46.</w:t>
      </w:r>
    </w:p>
    <w:p w14:paraId="0D04BC9D">
      <w:pPr>
        <w:keepNext w:val="0"/>
        <w:keepLines w:val="0"/>
        <w:pageBreakBefore w:val="0"/>
        <w:widowControl w:val="0"/>
        <w:kinsoku/>
        <w:wordWrap/>
        <w:overflowPunct/>
        <w:topLinePunct w:val="0"/>
        <w:autoSpaceDE/>
        <w:autoSpaceDN/>
        <w:bidi w:val="0"/>
        <w:adjustRightInd w:val="0"/>
        <w:snapToGrid w:val="0"/>
        <w:spacing w:before="60" w:line="320" w:lineRule="exact"/>
        <w:ind w:left="440" w:hanging="480" w:hangingChars="200"/>
        <w:textAlignment w:val="auto"/>
        <w:rPr>
          <w:rFonts w:hAnsi="宋体" w:eastAsia="宋体"/>
          <w:color w:val="auto"/>
          <w:highlight w:val="none"/>
        </w:rPr>
      </w:pPr>
    </w:p>
    <w:p w14:paraId="6E5F0FC4">
      <w:pPr>
        <w:rPr>
          <w:color w:val="auto"/>
          <w:highlight w:val="none"/>
        </w:rPr>
      </w:pPr>
      <w:r>
        <w:rPr>
          <w:color w:val="auto"/>
          <w:sz w:val="32"/>
          <w:highlight w:val="none"/>
        </w:rPr>
        <mc:AlternateContent>
          <mc:Choice Requires="wps">
            <w:drawing>
              <wp:anchor distT="0" distB="0" distL="114300" distR="114300" simplePos="0" relativeHeight="251662336" behindDoc="0" locked="0" layoutInCell="1" allowOverlap="1">
                <wp:simplePos x="0" y="0"/>
                <wp:positionH relativeFrom="column">
                  <wp:posOffset>1225550</wp:posOffset>
                </wp:positionH>
                <wp:positionV relativeFrom="paragraph">
                  <wp:posOffset>2540</wp:posOffset>
                </wp:positionV>
                <wp:extent cx="3376295" cy="690245"/>
                <wp:effectExtent l="6350" t="6350" r="8255" b="8255"/>
                <wp:wrapNone/>
                <wp:docPr id="65" name="文本框 65"/>
                <wp:cNvGraphicFramePr/>
                <a:graphic xmlns:a="http://schemas.openxmlformats.org/drawingml/2006/main">
                  <a:graphicData uri="http://schemas.microsoft.com/office/word/2010/wordprocessingShape">
                    <wps:wsp>
                      <wps:cNvSpPr txBox="1"/>
                      <wps:spPr>
                        <a:xfrm>
                          <a:off x="0" y="0"/>
                          <a:ext cx="3376295" cy="69024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0.2pt;height:54.35pt;width:265.85pt;z-index:251662336;mso-width-relative:page;mso-height-relative:page;" filled="f" stroked="t" coordsize="21600,21600" o:gfxdata="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7I+G1wAAAAgBAAAPAAAAAAAAAAEA&#10;IAAAACIAAABkcnMvZG93bnJldi54bWxQSwECFAAUAAAACACHTuJAYXdanIICAADjBAAADgAAAAAA&#10;AAABACAAAAAmAQAAZHJzL2Uyb0RvYy54bWxQSwUGAAAAAAYABgBZAQAAGgYAAAAA&#10;">
                <v:fill on="f" focussize="0,0"/>
                <v:stroke weight="1pt" color="#ED7D31 [3205]" miterlimit="8" joinstyle="miter"/>
                <v:imagedata o:title=""/>
                <o:lock v:ext="edit" aspectratio="f"/>
                <v:textbox>
                  <w:txbxContent>
                    <w:p w14:paraId="367437A0">
                      <w:pPr>
                        <w:rPr>
                          <w:rFonts w:hint="default" w:ascii="黑体" w:hAnsi="黑体" w:eastAsia="黑体" w:cs="黑体"/>
                          <w:color w:val="FF0000"/>
                          <w:sz w:val="24"/>
                          <w:szCs w:val="24"/>
                          <w:lang w:val="en-US" w:eastAsia="zh-CN"/>
                        </w:rPr>
                      </w:pPr>
                      <w:r>
                        <w:rPr>
                          <w:rFonts w:hint="eastAsia" w:ascii="黑体" w:hAnsi="黑体" w:eastAsia="黑体" w:cs="黑体"/>
                          <w:color w:val="FF0000"/>
                          <w:sz w:val="24"/>
                          <w:szCs w:val="24"/>
                          <w:lang w:val="en-US"/>
                        </w:rPr>
                        <w:t>主要参考文献：文字宋体五号，英文及数字Times New Roman五号，段前3磅，行距固定</w:t>
                      </w:r>
                      <w:r>
                        <w:rPr>
                          <w:rFonts w:hint="eastAsia" w:ascii="黑体" w:hAnsi="黑体" w:eastAsia="黑体" w:cs="黑体"/>
                          <w:color w:val="FF0000"/>
                          <w:sz w:val="24"/>
                          <w:szCs w:val="24"/>
                          <w:lang w:val="en-US" w:eastAsia="zh-CN"/>
                        </w:rPr>
                        <w:t>16</w:t>
                      </w:r>
                      <w:r>
                        <w:rPr>
                          <w:rFonts w:hint="eastAsia" w:ascii="黑体" w:hAnsi="黑体" w:eastAsia="黑体" w:cs="黑体"/>
                          <w:color w:val="FF0000"/>
                          <w:sz w:val="24"/>
                          <w:szCs w:val="24"/>
                          <w:lang w:val="en-US"/>
                        </w:rPr>
                        <w:t>磅，首行缩进2字符</w:t>
                      </w:r>
                      <w:r>
                        <w:rPr>
                          <w:rFonts w:hint="eastAsia" w:ascii="黑体" w:hAnsi="黑体" w:eastAsia="黑体" w:cs="黑体"/>
                          <w:color w:val="FF0000"/>
                          <w:sz w:val="24"/>
                          <w:szCs w:val="24"/>
                          <w:lang w:val="en-US" w:eastAsia="zh-CN"/>
                        </w:rPr>
                        <w:t>,超过一行时,悬挂缩进两字符</w:t>
                      </w:r>
                    </w:p>
                  </w:txbxContent>
                </v:textbox>
              </v:shape>
            </w:pict>
          </mc:Fallback>
        </mc:AlternateContent>
      </w:r>
    </w:p>
    <w:p w14:paraId="2EF4B946">
      <w:pPr>
        <w:rPr>
          <w:color w:val="auto"/>
          <w:highlight w:val="none"/>
        </w:rPr>
        <w:sectPr>
          <w:footerReference r:id="rId19" w:type="default"/>
          <w:pgSz w:w="11906" w:h="16838"/>
          <w:pgMar w:top="1701" w:right="1134" w:bottom="1417" w:left="1417" w:header="907" w:footer="850" w:gutter="0"/>
          <w:pgNumType w:fmt="numberInDash"/>
          <w:cols w:space="425" w:num="1"/>
          <w:docGrid w:type="lines" w:linePitch="312" w:charSpace="0"/>
        </w:sectPr>
      </w:pPr>
    </w:p>
    <w:p w14:paraId="2119F866">
      <w:pPr>
        <w:pStyle w:val="2"/>
        <w:autoSpaceDE/>
        <w:autoSpaceDN/>
        <w:spacing w:before="642" w:beforeLines="200" w:after="481" w:afterLines="150"/>
        <w:ind w:left="0"/>
        <w:jc w:val="center"/>
        <w:rPr>
          <w:rFonts w:hint="eastAsia" w:ascii="方正仿宋_GB2312" w:hAnsi="方正仿宋_GB2312" w:eastAsia="方正仿宋_GB2312" w:cs="方正仿宋_GB2312"/>
          <w:b w:val="0"/>
          <w:bCs w:val="0"/>
          <w:color w:val="auto"/>
          <w:kern w:val="44"/>
          <w:szCs w:val="14"/>
          <w:highlight w:val="none"/>
          <w:lang w:val="en-US" w:bidi="ar"/>
        </w:rPr>
      </w:pPr>
      <w:bookmarkStart w:id="7" w:name="_Toc21057"/>
      <w:r>
        <w:rPr>
          <w:rFonts w:hint="eastAsia" w:ascii="方正仿宋_GB2312" w:hAnsi="方正仿宋_GB2312" w:eastAsia="方正仿宋_GB2312" w:cs="方正仿宋_GB2312"/>
          <w:b w:val="0"/>
          <w:bCs w:val="0"/>
          <w:color w:val="auto"/>
          <w:kern w:val="44"/>
          <w:szCs w:val="14"/>
          <w:highlight w:val="none"/>
          <w:lang w:val="en-US" w:bidi="ar"/>
        </w:rPr>
        <mc:AlternateContent>
          <mc:Choice Requires="wps">
            <w:drawing>
              <wp:anchor distT="0" distB="0" distL="114300" distR="114300" simplePos="0" relativeHeight="251671552" behindDoc="0" locked="0" layoutInCell="1" allowOverlap="1">
                <wp:simplePos x="0" y="0"/>
                <wp:positionH relativeFrom="column">
                  <wp:posOffset>3278505</wp:posOffset>
                </wp:positionH>
                <wp:positionV relativeFrom="paragraph">
                  <wp:posOffset>-57150</wp:posOffset>
                </wp:positionV>
                <wp:extent cx="2297430" cy="507365"/>
                <wp:effectExtent l="6350" t="6350" r="20320" b="19685"/>
                <wp:wrapNone/>
                <wp:docPr id="8" name="文本框 8"/>
                <wp:cNvGraphicFramePr/>
                <a:graphic xmlns:a="http://schemas.openxmlformats.org/drawingml/2006/main">
                  <a:graphicData uri="http://schemas.microsoft.com/office/word/2010/wordprocessingShape">
                    <wps:wsp>
                      <wps:cNvSpPr txBox="1"/>
                      <wps:spPr>
                        <a:xfrm>
                          <a:off x="0" y="0"/>
                          <a:ext cx="2297430" cy="50736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15pt;margin-top:-4.5pt;height:39.95pt;width:180.9pt;z-index:251671552;mso-width-relative:page;mso-height-relative:page;" filled="f" stroked="t" coordsize="21600,21600" o:gfxdata="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TMRHp2QAAAAkBAAAPAAAAAAAAAAEAIAAA&#10;ACIAAABkcnMvZG93bnJldi54bWxQSwECFAAUAAAACACHTuJA0LdiZX0CAADhBAAADgAAAAAAAAAB&#10;ACAAAAAoAQAAZHJzL2Uyb0RvYy54bWxQSwUGAAAAAAYABgBZAQAAFwYAAAAA&#10;">
                <v:fill on="f" focussize="0,0"/>
                <v:stroke weight="1pt" color="#ED7D31 [3205]" miterlimit="8" joinstyle="miter"/>
                <v:imagedata o:title=""/>
                <o:lock v:ext="edit" aspectratio="f"/>
                <v:textbox>
                  <w:txbxContent>
                    <w:p w14:paraId="500CA6CC">
                      <w:pPr>
                        <w:rPr>
                          <w:sz w:val="20"/>
                          <w:szCs w:val="20"/>
                          <w:lang w:val="en-US"/>
                        </w:rPr>
                      </w:pPr>
                      <w:r>
                        <w:rPr>
                          <w:rFonts w:hint="eastAsia" w:ascii="黑体" w:hAnsi="黑体" w:eastAsia="黑体" w:cs="黑体"/>
                          <w:color w:val="FF0000"/>
                          <w:sz w:val="24"/>
                          <w:szCs w:val="24"/>
                          <w:lang w:val="en-US"/>
                        </w:rPr>
                        <w:t>仿宋_GB2312，三号，居中，段前2行，段后1.5行，单倍行距</w:t>
                      </w:r>
                    </w:p>
                  </w:txbxContent>
                </v:textbox>
              </v:shape>
            </w:pict>
          </mc:Fallback>
        </mc:AlternateContent>
      </w:r>
      <w:r>
        <w:rPr>
          <w:rFonts w:hint="eastAsia" w:ascii="方正仿宋_GB2312" w:hAnsi="方正仿宋_GB2312" w:eastAsia="方正仿宋_GB2312" w:cs="方正仿宋_GB2312"/>
          <w:b w:val="0"/>
          <w:bCs w:val="0"/>
          <w:color w:val="auto"/>
          <w:kern w:val="44"/>
          <w:szCs w:val="14"/>
          <w:highlight w:val="none"/>
          <w:lang w:val="en-US" w:bidi="ar"/>
        </w:rPr>
        <w:t>致谢</w:t>
      </w:r>
      <w:bookmarkEnd w:id="7"/>
    </w:p>
    <w:p w14:paraId="156348E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rPr>
        <w:t>在此感谢指导老师**老师在论文选题、开题、中期检查、初稿、定稿、查重等各阶段期间所提出的宝贵意见，与老师的每一次交流都受益匪浅。</w:t>
      </w:r>
      <w:r>
        <w:rPr>
          <w:rFonts w:hint="eastAsia" w:ascii="宋体" w:hAnsi="宋体" w:eastAsia="宋体" w:cs="宋体"/>
          <w:b w:val="0"/>
          <w:bCs w:val="0"/>
          <w:color w:val="FF0000"/>
          <w:kern w:val="2"/>
          <w:sz w:val="24"/>
          <w:szCs w:val="24"/>
          <w:highlight w:val="none"/>
          <w:lang w:eastAsia="zh-CN"/>
        </w:rPr>
        <w:t>（</w:t>
      </w:r>
      <w:r>
        <w:rPr>
          <w:rFonts w:hint="eastAsia" w:ascii="宋体" w:hAnsi="宋体" w:eastAsia="宋体" w:cs="宋体"/>
          <w:b w:val="0"/>
          <w:bCs w:val="0"/>
          <w:color w:val="FF0000"/>
          <w:kern w:val="2"/>
          <w:sz w:val="24"/>
          <w:szCs w:val="24"/>
          <w:highlight w:val="none"/>
          <w:lang w:val="en-US" w:eastAsia="zh-CN"/>
        </w:rPr>
        <w:t>致谢不能照抄模板</w:t>
      </w:r>
      <w:r>
        <w:rPr>
          <w:rFonts w:hint="eastAsia" w:ascii="宋体" w:hAnsi="宋体" w:eastAsia="宋体" w:cs="宋体"/>
          <w:b w:val="0"/>
          <w:bCs w:val="0"/>
          <w:color w:val="FF0000"/>
          <w:kern w:val="2"/>
          <w:sz w:val="24"/>
          <w:szCs w:val="24"/>
          <w:highlight w:val="none"/>
          <w:lang w:eastAsia="zh-CN"/>
        </w:rPr>
        <w:t>）</w:t>
      </w:r>
    </w:p>
    <w:p w14:paraId="7EBA85B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sz w:val="24"/>
          <w:szCs w:val="24"/>
          <w:highlight w:val="none"/>
        </w:rPr>
        <mc:AlternateContent>
          <mc:Choice Requires="wps">
            <w:drawing>
              <wp:anchor distT="0" distB="0" distL="114300" distR="114300" simplePos="0" relativeHeight="251672576" behindDoc="0" locked="0" layoutInCell="1" allowOverlap="1">
                <wp:simplePos x="0" y="0"/>
                <wp:positionH relativeFrom="column">
                  <wp:posOffset>3191510</wp:posOffset>
                </wp:positionH>
                <wp:positionV relativeFrom="paragraph">
                  <wp:posOffset>17145</wp:posOffset>
                </wp:positionV>
                <wp:extent cx="1736725" cy="527685"/>
                <wp:effectExtent l="6350" t="6350" r="9525" b="18415"/>
                <wp:wrapNone/>
                <wp:docPr id="9" name="文本框 9"/>
                <wp:cNvGraphicFramePr/>
                <a:graphic xmlns:a="http://schemas.openxmlformats.org/drawingml/2006/main">
                  <a:graphicData uri="http://schemas.microsoft.com/office/word/2010/wordprocessingShape">
                    <wps:wsp>
                      <wps:cNvSpPr txBox="1"/>
                      <wps:spPr>
                        <a:xfrm>
                          <a:off x="0" y="0"/>
                          <a:ext cx="1736725" cy="527685"/>
                        </a:xfrm>
                        <a:prstGeom prst="rect">
                          <a:avLst/>
                        </a:prstGeom>
                        <a:noFill/>
                      </wps:spPr>
                      <wps:style>
                        <a:lnRef idx="2">
                          <a:schemeClr val="accent2"/>
                        </a:lnRef>
                        <a:fillRef idx="1">
                          <a:schemeClr val="lt1"/>
                        </a:fillRef>
                        <a:effectRef idx="0">
                          <a:schemeClr val="accent2"/>
                        </a:effectRef>
                        <a:fontRef idx="minor">
                          <a:schemeClr val="dk1"/>
                        </a:fontRef>
                      </wps:style>
                      <wps:txb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3pt;margin-top:1.35pt;height:41.55pt;width:136.75pt;z-index:251672576;mso-width-relative:page;mso-height-relative:page;" filled="f" stroked="t" coordsize="21600,21600" o:gfxdata="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XpSV9gAAAAIAQAADwAAAAAAAAABACAA&#10;AAAiAAAAZHJzL2Rvd25yZXYueG1sUEsBAhQAFAAAAAgAh07iQINIjpV/AgAA4QQAAA4AAAAAAAAA&#10;AQAgAAAAJwEAAGRycy9lMm9Eb2MueG1sUEsFBgAAAAAGAAYAWQEAABgGAAAAAA==&#10;">
                <v:fill on="f" focussize="0,0"/>
                <v:stroke weight="1pt" color="#ED7D31 [3205]" miterlimit="8" joinstyle="miter"/>
                <v:imagedata o:title=""/>
                <o:lock v:ext="edit" aspectratio="f"/>
                <v:textbox>
                  <w:txbxContent>
                    <w:p w14:paraId="6D35B833">
                      <w:pPr>
                        <w:rPr>
                          <w:rFonts w:ascii="黑体" w:hAnsi="黑体" w:eastAsia="黑体" w:cs="黑体"/>
                          <w:color w:val="FF0000"/>
                          <w:sz w:val="24"/>
                          <w:szCs w:val="24"/>
                          <w:lang w:val="en-US"/>
                        </w:rPr>
                      </w:pPr>
                      <w:r>
                        <w:rPr>
                          <w:rFonts w:hint="eastAsia" w:ascii="黑体" w:hAnsi="黑体" w:eastAsia="黑体" w:cs="黑体"/>
                          <w:color w:val="FF0000"/>
                          <w:sz w:val="24"/>
                          <w:szCs w:val="24"/>
                          <w:lang w:val="en-US"/>
                        </w:rPr>
                        <w:t>致谢正文：</w:t>
                      </w:r>
                      <w:r>
                        <w:rPr>
                          <w:rFonts w:hint="eastAsia" w:ascii="黑体" w:hAnsi="黑体" w:eastAsia="黑体" w:cs="黑体"/>
                          <w:color w:val="FF0000"/>
                          <w:sz w:val="24"/>
                          <w:szCs w:val="24"/>
                          <w:lang w:val="en-US" w:eastAsia="zh-CN"/>
                        </w:rPr>
                        <w:t>宋体，小</w:t>
                      </w:r>
                      <w:r>
                        <w:rPr>
                          <w:rFonts w:hint="eastAsia" w:ascii="黑体" w:hAnsi="黑体" w:eastAsia="黑体" w:cs="黑体"/>
                          <w:color w:val="FF0000"/>
                          <w:sz w:val="24"/>
                          <w:szCs w:val="24"/>
                          <w:lang w:val="en-US"/>
                        </w:rPr>
                        <w:t>四号，</w:t>
                      </w:r>
                      <w:r>
                        <w:rPr>
                          <w:rFonts w:hint="eastAsia" w:ascii="黑体" w:hAnsi="黑体" w:eastAsia="黑体" w:cs="黑体"/>
                          <w:color w:val="FF0000"/>
                          <w:sz w:val="24"/>
                          <w:szCs w:val="24"/>
                          <w:lang w:val="en-US" w:eastAsia="zh-CN"/>
                        </w:rPr>
                        <w:t>1.5倍</w:t>
                      </w:r>
                      <w:r>
                        <w:rPr>
                          <w:rFonts w:hint="eastAsia" w:ascii="黑体" w:hAnsi="黑体" w:eastAsia="黑体" w:cs="黑体"/>
                          <w:color w:val="FF0000"/>
                          <w:sz w:val="24"/>
                          <w:szCs w:val="24"/>
                          <w:lang w:val="en-US"/>
                        </w:rPr>
                        <w:t>行</w:t>
                      </w:r>
                      <w:r>
                        <w:rPr>
                          <w:rFonts w:hint="eastAsia" w:ascii="黑体" w:hAnsi="黑体" w:eastAsia="黑体" w:cs="黑体"/>
                          <w:color w:val="FF0000"/>
                          <w:sz w:val="24"/>
                          <w:szCs w:val="24"/>
                          <w:lang w:val="en-US" w:eastAsia="zh-CN"/>
                        </w:rPr>
                        <w:t>间</w:t>
                      </w:r>
                      <w:r>
                        <w:rPr>
                          <w:rFonts w:hint="eastAsia" w:ascii="黑体" w:hAnsi="黑体" w:eastAsia="黑体" w:cs="黑体"/>
                          <w:color w:val="FF0000"/>
                          <w:sz w:val="24"/>
                          <w:szCs w:val="24"/>
                          <w:lang w:val="en-US"/>
                        </w:rPr>
                        <w:t>距</w:t>
                      </w:r>
                    </w:p>
                  </w:txbxContent>
                </v:textbox>
              </v:shape>
            </w:pict>
          </mc:Fallback>
        </mc:AlternateContent>
      </w:r>
    </w:p>
    <w:p w14:paraId="62424ADB">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p>
    <w:p w14:paraId="3621D6D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宋体" w:hAnsi="宋体" w:eastAsia="宋体" w:cs="宋体"/>
          <w:b/>
          <w:bCs/>
          <w:color w:val="FF0000"/>
          <w:kern w:val="2"/>
          <w:sz w:val="24"/>
          <w:szCs w:val="24"/>
          <w:highlight w:val="none"/>
          <w:lang w:val="en-US" w:eastAsia="zh-CN"/>
        </w:rPr>
      </w:pPr>
      <w:r>
        <w:rPr>
          <w:rFonts w:hint="eastAsia" w:ascii="宋体" w:hAnsi="宋体" w:eastAsia="宋体" w:cs="宋体"/>
          <w:b/>
          <w:bCs/>
          <w:color w:val="FF0000"/>
          <w:kern w:val="2"/>
          <w:sz w:val="24"/>
          <w:szCs w:val="24"/>
          <w:highlight w:val="none"/>
          <w:lang w:val="en-US" w:eastAsia="zh-CN"/>
        </w:rPr>
        <w:t>毕业设计模板仅供参考，文中不明或有异议处以撰写规范为准。</w:t>
      </w:r>
    </w:p>
    <w:p w14:paraId="0848E97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BC8C8F">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C8C4E1F">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DCF9BA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49A6C6B">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70C3F36">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FBF263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09C44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7679C65">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5117D4E2">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3A98021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C8C1A4">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9484F20">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A1E0CE1">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2F646A0A">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035CB791">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4AFAAE7E">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1C92406C">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6A8383D8">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宋体" w:hAnsi="宋体" w:eastAsia="宋体" w:cs="宋体"/>
          <w:b/>
          <w:bCs/>
          <w:color w:val="FF0000"/>
          <w:kern w:val="2"/>
          <w:sz w:val="24"/>
          <w:szCs w:val="24"/>
          <w:highlight w:val="none"/>
          <w:lang w:val="en-US" w:eastAsia="zh-CN" w:bidi="ar-SA"/>
        </w:rPr>
      </w:pPr>
    </w:p>
    <w:p w14:paraId="77119B37">
      <w:pPr>
        <w:pStyle w:val="1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宋体" w:hAnsi="宋体" w:eastAsia="宋体" w:cs="宋体"/>
          <w:b/>
          <w:bCs/>
          <w:color w:val="FF0000"/>
          <w:kern w:val="2"/>
          <w:sz w:val="24"/>
          <w:szCs w:val="24"/>
          <w:highlight w:val="none"/>
          <w:lang w:val="en-US" w:eastAsia="zh-CN" w:bidi="ar-SA"/>
        </w:rPr>
      </w:pPr>
    </w:p>
    <w:sectPr>
      <w:footerReference r:id="rId20" w:type="default"/>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_GB2312">
    <w:altName w:val="仿宋_GB2312"/>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宋体1">
    <w:altName w:val="宋体"/>
    <w:panose1 w:val="00000000000000000000"/>
    <w:charset w:val="00"/>
    <w:family w:val="auto"/>
    <w:pitch w:val="default"/>
    <w:sig w:usb0="00000000" w:usb1="00000000" w:usb2="00000000" w:usb3="00000000" w:csb0="00000000" w:csb1="00000000"/>
  </w:font>
  <w:font w:name="宋体11">
    <w:altName w:val="宋体"/>
    <w:panose1 w:val="00000000000000000000"/>
    <w:charset w:val="00"/>
    <w:family w:val="auto"/>
    <w:pitch w:val="default"/>
    <w:sig w:usb0="00000000" w:usb1="00000000" w:usb2="00000000" w:usb3="00000000" w:csb0="00000000" w:csb1="00000000"/>
  </w:font>
  <w:font w:name="宋体11号">
    <w:altName w:val="宋体"/>
    <w:panose1 w:val="00000000000000000000"/>
    <w:charset w:val="00"/>
    <w:family w:val="auto"/>
    <w:pitch w:val="default"/>
    <w:sig w:usb0="00000000" w:usb1="00000000" w:usb2="00000000" w:usb3="00000000" w:csb0="00000000"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7"/>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7"/>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7"/>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7"/>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7"/>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7"/>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7"/>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7"/>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7"/>
      <w:rPr>
        <w:lang w:val="en-US"/>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7"/>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7"/>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7"/>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7"/>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7"/>
      <w:rPr>
        <w:lang w:val="en-US"/>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7"/>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7"/>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7"/>
      <w:rPr>
        <w:lang w:val="en-US"/>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7"/>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7"/>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8"/>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p w14:paraId="2DF545AB">
    <w:pPr>
      <w:pStyle w:val="8"/>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8"/>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95C42"/>
    <w:multiLevelType w:val="singleLevel"/>
    <w:tmpl w:val="AB695C42"/>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DE7B1F"/>
    <w:rsid w:val="0691317E"/>
    <w:rsid w:val="077010BF"/>
    <w:rsid w:val="07B215FB"/>
    <w:rsid w:val="08294AF7"/>
    <w:rsid w:val="085D1690"/>
    <w:rsid w:val="08F203BB"/>
    <w:rsid w:val="090F115B"/>
    <w:rsid w:val="0AA92B28"/>
    <w:rsid w:val="0BB37B36"/>
    <w:rsid w:val="0C47587E"/>
    <w:rsid w:val="0E77482B"/>
    <w:rsid w:val="103941EB"/>
    <w:rsid w:val="11FA6155"/>
    <w:rsid w:val="14D81D91"/>
    <w:rsid w:val="17D50129"/>
    <w:rsid w:val="183F23B9"/>
    <w:rsid w:val="1ADC1279"/>
    <w:rsid w:val="1B097409"/>
    <w:rsid w:val="1BB82AAA"/>
    <w:rsid w:val="1CAA7AEA"/>
    <w:rsid w:val="1DC35F95"/>
    <w:rsid w:val="1F144C76"/>
    <w:rsid w:val="1FE30BF5"/>
    <w:rsid w:val="206D09F2"/>
    <w:rsid w:val="21754D72"/>
    <w:rsid w:val="21932171"/>
    <w:rsid w:val="22F7746D"/>
    <w:rsid w:val="25B52667"/>
    <w:rsid w:val="27C022AD"/>
    <w:rsid w:val="294D3731"/>
    <w:rsid w:val="2AF4310E"/>
    <w:rsid w:val="2B6A5B38"/>
    <w:rsid w:val="2B7938DE"/>
    <w:rsid w:val="2D8D11DF"/>
    <w:rsid w:val="2EE06A9A"/>
    <w:rsid w:val="32A724AC"/>
    <w:rsid w:val="35BA34DA"/>
    <w:rsid w:val="35D0405D"/>
    <w:rsid w:val="366A124C"/>
    <w:rsid w:val="36BA2868"/>
    <w:rsid w:val="3765585A"/>
    <w:rsid w:val="37F8706F"/>
    <w:rsid w:val="38223E1B"/>
    <w:rsid w:val="39E362DD"/>
    <w:rsid w:val="3BA15C6B"/>
    <w:rsid w:val="3BED280B"/>
    <w:rsid w:val="3C47643C"/>
    <w:rsid w:val="3ED53549"/>
    <w:rsid w:val="3F21134E"/>
    <w:rsid w:val="450A19D1"/>
    <w:rsid w:val="4594234D"/>
    <w:rsid w:val="481A7F92"/>
    <w:rsid w:val="4AB952D9"/>
    <w:rsid w:val="4CF51418"/>
    <w:rsid w:val="4E2D705C"/>
    <w:rsid w:val="50380D80"/>
    <w:rsid w:val="56C33047"/>
    <w:rsid w:val="578C7028"/>
    <w:rsid w:val="589B3CED"/>
    <w:rsid w:val="5C3F1B9C"/>
    <w:rsid w:val="5D542564"/>
    <w:rsid w:val="5EB629D1"/>
    <w:rsid w:val="62141EE8"/>
    <w:rsid w:val="645110EF"/>
    <w:rsid w:val="664B26DE"/>
    <w:rsid w:val="665E5472"/>
    <w:rsid w:val="66B617C0"/>
    <w:rsid w:val="68B473FF"/>
    <w:rsid w:val="6AE352CC"/>
    <w:rsid w:val="6AE63A26"/>
    <w:rsid w:val="6C523D39"/>
    <w:rsid w:val="6C83566E"/>
    <w:rsid w:val="6E433F5B"/>
    <w:rsid w:val="71BF47BE"/>
    <w:rsid w:val="72A359D6"/>
    <w:rsid w:val="744F39DE"/>
    <w:rsid w:val="75F220E9"/>
    <w:rsid w:val="76E462F3"/>
    <w:rsid w:val="7778770E"/>
    <w:rsid w:val="7B4C493D"/>
    <w:rsid w:val="7CDF3F7D"/>
    <w:rsid w:val="7D777A3E"/>
    <w:rsid w:val="7D990F20"/>
    <w:rsid w:val="7E4A6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pPr>
  </w:style>
  <w:style w:type="paragraph" w:styleId="6">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0">
    <w:name w:val="footnote text"/>
    <w:basedOn w:val="1"/>
    <w:autoRedefine/>
    <w:qFormat/>
    <w:uiPriority w:val="0"/>
    <w:pPr>
      <w:snapToGrid w:val="0"/>
    </w:pPr>
    <w:rPr>
      <w:sz w:val="18"/>
    </w:rPr>
  </w:style>
  <w:style w:type="paragraph" w:styleId="11">
    <w:name w:val="toc 2"/>
    <w:basedOn w:val="1"/>
    <w:next w:val="1"/>
    <w:autoRedefine/>
    <w:qFormat/>
    <w:uiPriority w:val="0"/>
    <w:pPr>
      <w:ind w:left="420" w:leftChars="200"/>
    </w:pPr>
  </w:style>
  <w:style w:type="paragraph" w:styleId="12">
    <w:name w:val="Normal (Web)"/>
    <w:basedOn w:val="1"/>
    <w:qFormat/>
    <w:uiPriority w:val="0"/>
    <w:pPr>
      <w:spacing w:beforeAutospacing="1" w:afterAutospacing="1"/>
    </w:pPr>
    <w:rPr>
      <w:rFonts w:cs="Times New Roman"/>
      <w:sz w:val="24"/>
      <w:lang w:val="en-US" w:bidi="ar-SA"/>
    </w:rPr>
  </w:style>
  <w:style w:type="paragraph" w:styleId="13">
    <w:name w:val="Title"/>
    <w:basedOn w:val="1"/>
    <w:qFormat/>
    <w:uiPriority w:val="0"/>
    <w:pPr>
      <w:jc w:val="center"/>
      <w:outlineLvl w:val="0"/>
    </w:pPr>
    <w:rPr>
      <w:rFonts w:ascii="Arial" w:hAnsi="Arial" w:eastAsia="黑体" w:cs="Arial"/>
      <w:b/>
      <w:bCs/>
      <w:sz w:val="36"/>
      <w:szCs w:val="32"/>
    </w:rPr>
  </w:style>
  <w:style w:type="paragraph" w:styleId="14">
    <w:name w:val="Body Text First Indent"/>
    <w:basedOn w:val="5"/>
    <w:autoRedefine/>
    <w:qFormat/>
    <w:uiPriority w:val="0"/>
    <w:pPr>
      <w:ind w:firstLine="420" w:firstLineChars="100"/>
    </w:pPr>
    <w:rPr>
      <w:rFonts w:ascii="Calibri" w:hAnsi="Calibri" w:eastAsia="宋体"/>
      <w:kern w:val="0"/>
      <w:sz w:val="20"/>
      <w:szCs w:val="20"/>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autoRedefine/>
    <w:qFormat/>
    <w:uiPriority w:val="0"/>
    <w:rPr>
      <w:color w:val="0000FF"/>
      <w:u w:val="single"/>
    </w:rPr>
  </w:style>
  <w:style w:type="character" w:styleId="19">
    <w:name w:val="footnote reference"/>
    <w:basedOn w:val="17"/>
    <w:autoRedefine/>
    <w:qFormat/>
    <w:uiPriority w:val="0"/>
    <w:rPr>
      <w:vertAlign w:val="superscript"/>
    </w:rPr>
  </w:style>
  <w:style w:type="paragraph" w:customStyle="1" w:styleId="20">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1">
    <w:name w:val="一级标题"/>
    <w:basedOn w:val="1"/>
    <w:next w:val="1"/>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2">
    <w:name w:val="二级标题"/>
    <w:basedOn w:val="1"/>
    <w:uiPriority w:val="0"/>
    <w:pPr>
      <w:spacing w:before="100" w:beforeLines="100" w:after="100" w:afterLines="100"/>
    </w:pPr>
    <w:rPr>
      <w:rFonts w:hint="eastAsia" w:ascii="宋体" w:hAnsi="宋体" w:cs="宋体"/>
      <w:b/>
      <w:bCs/>
      <w:color w:val="auto"/>
      <w:sz w:val="28"/>
      <w:szCs w:val="28"/>
    </w:rPr>
  </w:style>
  <w:style w:type="paragraph" w:customStyle="1" w:styleId="23">
    <w:name w:val="三级标题"/>
    <w:basedOn w:val="1"/>
    <w:uiPriority w:val="0"/>
    <w:pPr>
      <w:adjustRightInd w:val="0"/>
      <w:ind w:firstLine="602"/>
      <w:textAlignment w:val="baseline"/>
      <w:outlineLvl w:val="2"/>
    </w:pPr>
    <w:rPr>
      <w:rFonts w:hint="eastAsia" w:ascii="宋体" w:hAnsi="宋体" w:cs="宋体"/>
      <w:b/>
      <w:bCs/>
      <w:color w:val="auto"/>
      <w:spacing w:val="10"/>
    </w:rPr>
  </w:style>
  <w:style w:type="paragraph" w:customStyle="1" w:styleId="24">
    <w:name w:val="图/表注"/>
    <w:basedOn w:val="1"/>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2597</Words>
  <Characters>3019</Characters>
  <Lines>0</Lines>
  <Paragraphs>0</Paragraphs>
  <TotalTime>320</TotalTime>
  <ScaleCrop>false</ScaleCrop>
  <LinksUpToDate>false</LinksUpToDate>
  <CharactersWithSpaces>3358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2026-07-17T07:33:52Z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BE45C7571A2F44F280C5C8050C5363BA</vt:lpwstr>
  </property>
  <property fmtid="{D5CDD505-2E9C-101B-9397-08002B2CF9AE}" pid="4" name="KSOTemplateDocerSaveRecord">
    <vt:lpwstr>eyJoZGlkIjoiMGI2MjU2OTI0MDI1ZDliNTNkYjNiNDk3NTBmYzkxYTYiLCJ1c2VySWQiOiIxNjk1NTQ5MjM3In0=</vt:lpwstr>
  </property>
</Properties>
</file>