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120" w:after="120" w:line="360" w:lineRule="auto"/>
        <w:jc w:val="left"/>
      </w:pPr>
      <w:r>
        <w:rPr>
          <w:rFonts w:ascii="Times New Roman" w:hAnsi="Times New Roman" w:eastAsia="黑体"/>
          <w:b/>
          <w:sz w:val="32"/>
        </w:rPr>
        <w:t>3.2.4  库区道路规划</w:t>
      </w:r>
    </w:p>
    <w:p>
      <w:pPr>
        <w:keepNext/>
        <w:widowControl/>
        <w:spacing w:before="100" w:after="60" w:line="360" w:lineRule="auto"/>
        <w:jc w:val="left"/>
      </w:pPr>
      <w:r>
        <w:rPr>
          <w:rFonts w:ascii="Times New Roman" w:hAnsi="Times New Roman" w:eastAsia="黑体"/>
          <w:b/>
          <w:sz w:val="24"/>
        </w:rPr>
        <w:t>（1）设计依据与道路系统目标</w:t>
      </w:r>
    </w:p>
    <w:p>
      <w:pPr>
        <w:widowControl/>
        <w:spacing w:line="360" w:lineRule="auto"/>
        <w:ind w:firstLine="480"/>
        <w:jc w:val="both"/>
      </w:pPr>
      <w:r>
        <w:rPr>
          <w:rFonts w:ascii="Times New Roman" w:hAnsi="Times New Roman" w:eastAsia="宋体"/>
          <w:b w:val="0"/>
          <w:sz w:val="24"/>
        </w:rPr>
        <w:t>本项目为二级石油库，储罐计算总容量为6.5万m³，实际储罐总容量为8.0万m³，建设地点位于广州市黄埔区广深公路主干道两旁，总用地约52万m²。库区道路规划应同时满足消防救援、油罐车运输、设备检修、人员通勤和应急疏散要求，并与储油区、公路装卸区、辅助生产区及行政管理区的功能分区相协调。道路体系采用“生产运输与行政交通分流、罐区消防道路成环、装车车辆单向循环、辅助道路就近到达”的总体方案。</w:t>
      </w:r>
    </w:p>
    <w:p>
      <w:pPr>
        <w:widowControl/>
        <w:spacing w:line="360" w:lineRule="auto"/>
        <w:ind w:firstLine="480"/>
        <w:jc w:val="both"/>
      </w:pPr>
      <w:r>
        <w:rPr>
          <w:rFonts w:ascii="Times New Roman" w:hAnsi="Times New Roman" w:eastAsia="宋体"/>
          <w:b w:val="0"/>
          <w:sz w:val="24"/>
        </w:rPr>
        <w:t>本节以现行《石油库设计规范》GB 50074—2014第5.2节为主要规范依据，并结合《油库加油站设计数据图表手册》所列油库道路技术指标及《油库毕业设计指导书》的总平面布置方法进行设计</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。国家标准直接在正文列明，不设置参考文献脚标；手册、指导资料及地方技术资料采用句末上标。</w:t>
      </w:r>
    </w:p>
    <w:p>
      <w:pPr>
        <w:keepNext/>
        <w:widowControl/>
        <w:spacing w:before="100" w:after="60" w:line="360" w:lineRule="auto"/>
        <w:jc w:val="left"/>
      </w:pPr>
      <w:r>
        <w:rPr>
          <w:rFonts w:ascii="Times New Roman" w:hAnsi="Times New Roman" w:eastAsia="黑体"/>
          <w:b/>
          <w:sz w:val="24"/>
        </w:rPr>
        <w:t>（2）规范最低值与本设计采用值</w:t>
      </w:r>
    </w:p>
    <w:p>
      <w:pPr>
        <w:widowControl/>
        <w:spacing w:line="360" w:lineRule="auto"/>
        <w:ind w:firstLine="480"/>
        <w:jc w:val="both"/>
      </w:pPr>
      <w:r>
        <w:rPr>
          <w:rFonts w:ascii="Times New Roman" w:hAnsi="Times New Roman" w:eastAsia="宋体"/>
          <w:b w:val="0"/>
          <w:sz w:val="24"/>
        </w:rPr>
        <w:t>GB 50074—2014第5.2.8条规定：一级石油库储罐区和装卸区消防车道宽度不应小于9 m，其中路面宽度不应小于7 m；覆土立式油罐及其他级别石油库的储罐区、装卸区消防车道宽度不应小于6 m，其中路面宽度不应小于4 m。因此，二级油库并不存在“路面必须取6 m”的强制要求。考虑本项目公路发油比例、消防车辆会车和大型油罐车运行需要，本设计将罐区消防主干道及公路装车区主干道路面宽度统一取6.0 m，高于规范最低路面宽度；低频巡检支路和辅助道路根据通行功能取3.5～4.0 m。手册列出的单车道路面宽度为3.5 m、双车道为6.0 m，可作为本设计道路分级取值的参考</w:t>
      </w:r>
      <w:r>
        <w:rPr>
          <w:rFonts w:ascii="Times New Roman" w:hAnsi="Times New Roman" w:eastAsia="宋体"/>
          <w:b w:val="0"/>
          <w:sz w:val="24"/>
          <w:vertAlign w:val="superscript"/>
        </w:rPr>
        <w:t>[18]</w:t>
      </w:r>
      <w:r>
        <w:rPr>
          <w:rFonts w:ascii="Times New Roman" w:hAnsi="Times New Roman" w:eastAsia="宋体"/>
          <w:b w:val="0"/>
          <w:sz w:val="24"/>
        </w:rPr>
        <w:t>。</w:t>
      </w:r>
    </w:p>
    <w:p>
      <w:pPr>
        <w:widowControl/>
        <w:spacing w:line="360" w:lineRule="auto"/>
        <w:ind w:firstLine="480"/>
        <w:jc w:val="both"/>
      </w:pPr>
      <w:r>
        <w:rPr>
          <w:rFonts w:ascii="Times New Roman" w:hAnsi="Times New Roman" w:eastAsia="宋体"/>
          <w:b w:val="0"/>
          <w:sz w:val="24"/>
        </w:rPr>
        <w:t>道路平面内缘转弯半径取不小于12 m。该值位于手册所列载重汽车交叉口最小转弯半径9～12 m范围的上限，可满足一般油罐车和消防车辆通行的方案设计要求</w:t>
      </w:r>
      <w:r>
        <w:rPr>
          <w:rFonts w:ascii="Times New Roman" w:hAnsi="Times New Roman" w:eastAsia="宋体"/>
          <w:b w:val="0"/>
          <w:sz w:val="24"/>
          <w:vertAlign w:val="superscript"/>
        </w:rPr>
        <w:t>[18]</w:t>
      </w:r>
      <w:r>
        <w:rPr>
          <w:rFonts w:ascii="Times New Roman" w:hAnsi="Times New Roman" w:eastAsia="宋体"/>
          <w:b w:val="0"/>
          <w:sz w:val="24"/>
        </w:rPr>
        <w:t>；施工图阶段仍应按实际选用的最大汽车罐车型号和当地消防车辆进行转弯轨迹包络校核。消防车道上方净空高度按不小于5.0 m控制，净空范围内不得布置低垂架空管线、电缆、树冠、标志牌或其他障碍物。</w:t>
      </w:r>
    </w:p>
    <w:p>
      <w:pPr>
        <w:keepNext/>
        <w:pageBreakBefore/>
        <w:widowControl/>
        <w:spacing w:before="80" w:after="80" w:line="360" w:lineRule="auto"/>
        <w:jc w:val="center"/>
      </w:pPr>
      <w:r>
        <w:rPr>
          <w:rFonts w:ascii="Times New Roman" w:hAnsi="Times New Roman" w:eastAsia="宋体"/>
          <w:b w:val="0"/>
          <w:sz w:val="21"/>
        </w:rPr>
        <w:t>表3-×  库区道路主要设计参数</w:t>
      </w:r>
    </w:p>
    <w:tbl>
      <w:tblPr>
        <w:tblStyle w:val="TableGrid"/>
        <w:tblW w:type="dxa" w:w="9360"/>
        <w:jc w:val="center"/>
        <w:tblLayout w:type="fixed"/>
        <w:tblLook w:firstColumn="1" w:firstRow="1" w:lastColumn="0" w:lastRow="0" w:noHBand="0" w:noVBand="1" w:val="04A0"/>
        <w:tblInd w:w="0" w:type="dxa"/>
      </w:tblPr>
      <w:tblGrid>
        <w:gridCol w:w="1900"/>
        <w:gridCol w:w="2650"/>
        <w:gridCol w:w="2050"/>
        <w:gridCol w:w="2760"/>
      </w:tblGrid>
      <w:tr>
        <w:tc>
          <w:tcPr>
            <w:tcW w:type="dxa" w:w="1900"/>
            <w:vAlign w:val="center"/>
            <w:tcMar>
              <w:top w:w="75" w:type="dxa"/>
              <w:bottom w:w="75" w:type="dxa"/>
              <w:start w:w="90" w:type="dxa"/>
              <w:end w:w="90" w:type="dxa"/>
            </w:tcMar>
            <w:shd w:fill="D9EAF7"/>
          </w:tcPr>
          <w:p>
            <w:pPr>
              <w:spacing w:before="0" w:after="0" w:line="240" w:lineRule="exact"/>
              <w:jc w:val="center"/>
            </w:pPr>
            <w:r/>
            <w:r>
              <w:rPr>
                <w:rFonts w:ascii="Times New Roman" w:hAnsi="Times New Roman" w:eastAsia="黑体"/>
                <w:b/>
                <w:sz w:val="18"/>
              </w:rPr>
              <w:t>道路或控制项目</w:t>
            </w:r>
          </w:p>
        </w:tc>
        <w:tc>
          <w:tcPr>
            <w:tcW w:type="dxa" w:w="2650"/>
            <w:vAlign w:val="center"/>
            <w:tcMar>
              <w:top w:w="75" w:type="dxa"/>
              <w:bottom w:w="75" w:type="dxa"/>
              <w:start w:w="90" w:type="dxa"/>
              <w:end w:w="90" w:type="dxa"/>
            </w:tcMar>
            <w:shd w:fill="D9EAF7"/>
          </w:tcPr>
          <w:p>
            <w:pPr>
              <w:spacing w:before="0" w:after="0" w:line="240" w:lineRule="exact"/>
              <w:jc w:val="center"/>
            </w:pPr>
            <w:r/>
            <w:r>
              <w:rPr>
                <w:rFonts w:ascii="Times New Roman" w:hAnsi="Times New Roman" w:eastAsia="黑体"/>
                <w:b/>
                <w:sz w:val="18"/>
              </w:rPr>
              <w:t>规范最低要求</w:t>
            </w:r>
          </w:p>
        </w:tc>
        <w:tc>
          <w:tcPr>
            <w:tcW w:type="dxa" w:w="2050"/>
            <w:vAlign w:val="center"/>
            <w:tcMar>
              <w:top w:w="75" w:type="dxa"/>
              <w:bottom w:w="75" w:type="dxa"/>
              <w:start w:w="90" w:type="dxa"/>
              <w:end w:w="90" w:type="dxa"/>
            </w:tcMar>
            <w:shd w:fill="D9EAF7"/>
          </w:tcPr>
          <w:p>
            <w:pPr>
              <w:spacing w:before="0" w:after="0" w:line="240" w:lineRule="exact"/>
              <w:jc w:val="center"/>
            </w:pPr>
            <w:r/>
            <w:r>
              <w:rPr>
                <w:rFonts w:ascii="Times New Roman" w:hAnsi="Times New Roman" w:eastAsia="黑体"/>
                <w:b/>
                <w:sz w:val="18"/>
              </w:rPr>
              <w:t>本设计采用值</w:t>
            </w:r>
          </w:p>
        </w:tc>
        <w:tc>
          <w:tcPr>
            <w:tcW w:type="dxa" w:w="2760"/>
            <w:vAlign w:val="center"/>
            <w:tcMar>
              <w:top w:w="75" w:type="dxa"/>
              <w:bottom w:w="75" w:type="dxa"/>
              <w:start w:w="90" w:type="dxa"/>
              <w:end w:w="90" w:type="dxa"/>
            </w:tcMar>
            <w:shd w:fill="D9EAF7"/>
          </w:tcPr>
          <w:p>
            <w:pPr>
              <w:spacing w:before="0" w:after="0" w:line="240" w:lineRule="exact"/>
              <w:jc w:val="center"/>
            </w:pPr>
            <w:r/>
            <w:r>
              <w:rPr>
                <w:rFonts w:ascii="Times New Roman" w:hAnsi="Times New Roman" w:eastAsia="黑体"/>
                <w:b/>
                <w:sz w:val="18"/>
              </w:rPr>
              <w:t>依据与说明</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罐区及装卸区消防车道</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二级油库车道总宽≥6 m、路面≥4 m</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主干道路面6.0 m；必要处设1.0 m路肩</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GB 50074—2014第5.2.8条；双车道取值参考[18]</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巡检及辅助道路</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按车辆和消防到达条件确定</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路面3.5～4.0 m</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低频单向通行取3.5 m，设备运输道路取4.0 m</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路面内缘转弯半径</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GB 50074—2014未给统一数值</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≥12 m</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按最大设计车辆轨迹复核，参考[18]</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消防车道净空高度</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按消防车辆通行需要确定</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≥5.0 m</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架空管线、树冠及标志不得侵入净空</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道路最大纵坡</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结合地形和车辆性能确定</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≤6%</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比手册所列8%最大值更保守；装车停车段宜进一步放缓</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路面横坡</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结合路面结构与场地排水确定</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1.5%～2.0%</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罐区道路原则上坡向防火堤外侧</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消防车道至防火堤外堤脚线</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≥3.0 m</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≥3.0 m</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GB 50074—2014第5.2.7条</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消防车道路面相对标高</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宜高出堤外地面≥0.5 m；较高地势处可降低但不宜＜0.3 m</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一般按≥0.5 m控制</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GB 50074—2014第5.2.6条，不按油库等级降低</w:t>
            </w:r>
          </w:p>
        </w:tc>
      </w:tr>
      <w:tr>
        <w:tc>
          <w:tcPr>
            <w:tcW w:type="dxa" w:w="190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尽头式道路回车场</w:t>
            </w:r>
          </w:p>
        </w:tc>
        <w:tc>
          <w:tcPr>
            <w:tcW w:type="dxa" w:w="26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满足消防车辆回转</w:t>
            </w:r>
          </w:p>
        </w:tc>
        <w:tc>
          <w:tcPr>
            <w:tcW w:type="dxa" w:w="205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15 m×15 m</w:t>
            </w:r>
          </w:p>
        </w:tc>
        <w:tc>
          <w:tcPr>
            <w:tcW w:type="dxa" w:w="2760"/>
            <w:vAlign w:val="center"/>
            <w:tcMar>
              <w:top w:w="75" w:type="dxa"/>
              <w:bottom w:w="75" w:type="dxa"/>
              <w:start w:w="90" w:type="dxa"/>
              <w:end w:w="90" w:type="dxa"/>
            </w:tcMar>
          </w:tcPr>
          <w:p>
            <w:pPr>
              <w:spacing w:before="0" w:after="0" w:line="240" w:lineRule="exact"/>
              <w:jc w:val="center"/>
            </w:pPr>
            <w:r/>
            <w:r>
              <w:rPr>
                <w:rFonts w:ascii="Times New Roman" w:hAnsi="Times New Roman" w:eastAsia="宋体"/>
                <w:b w:val="0"/>
                <w:sz w:val="18"/>
              </w:rPr>
              <w:t>本设计采用值；尽量少设尽头式道路</w:t>
            </w:r>
          </w:p>
        </w:tc>
      </w:tr>
    </w:tbl>
    <w:p>
      <w:pPr>
        <w:widowControl/>
        <w:spacing w:line="360" w:lineRule="auto"/>
        <w:ind w:firstLine="420"/>
        <w:jc w:val="both"/>
      </w:pPr>
      <w:r>
        <w:rPr>
          <w:rFonts w:ascii="Times New Roman" w:hAnsi="Times New Roman" w:eastAsia="宋体"/>
          <w:b w:val="0"/>
          <w:sz w:val="21"/>
        </w:rPr>
        <w:t>注：表中“规范最低要求”与“本设计采用值”不得混用。转弯半径、净空、纵坡、横坡和回车场尺寸为本项目方案取值，施工图阶段应结合最大设计车辆、消防车型及道路主管部门要求复核。</w:t>
      </w:r>
    </w:p>
    <w:p>
      <w:pPr>
        <w:keepNext/>
        <w:widowControl/>
        <w:spacing w:before="100" w:after="60" w:line="360" w:lineRule="auto"/>
        <w:jc w:val="left"/>
      </w:pPr>
      <w:r>
        <w:rPr>
          <w:rFonts w:ascii="Times New Roman" w:hAnsi="Times New Roman" w:eastAsia="黑体"/>
          <w:b/>
          <w:sz w:val="24"/>
        </w:rPr>
        <w:t>（3）储油区消防道路</w:t>
      </w:r>
    </w:p>
    <w:p>
      <w:pPr>
        <w:widowControl/>
        <w:spacing w:line="360" w:lineRule="auto"/>
        <w:ind w:firstLine="480"/>
        <w:jc w:val="both"/>
      </w:pPr>
      <w:r>
        <w:rPr>
          <w:rFonts w:ascii="Times New Roman" w:hAnsi="Times New Roman" w:eastAsia="宋体"/>
          <w:b w:val="0"/>
          <w:sz w:val="24"/>
        </w:rPr>
        <w:t>GB 50074—2014第5.2.1条规定石油库储罐区应设置环形消防车道。结合本项目92号汽油、95号汽油和0号柴油分别成组布置的方案，各罐组外围均设置连续环形消防车道，并通过库内主干道相互连通，使消防车辆能够从不同方向接近罐组。道路转弯处保持连续圆曲线，不在防火堤转角、罐前阀组和消防设施附近形成狭窄瓶颈。</w:t>
      </w:r>
    </w:p>
    <w:p>
      <w:pPr>
        <w:widowControl/>
        <w:spacing w:line="360" w:lineRule="auto"/>
        <w:ind w:firstLine="480"/>
        <w:jc w:val="both"/>
      </w:pPr>
      <w:r>
        <w:rPr>
          <w:rFonts w:ascii="Times New Roman" w:hAnsi="Times New Roman" w:eastAsia="宋体"/>
          <w:b w:val="0"/>
          <w:sz w:val="24"/>
        </w:rPr>
        <w:t>按照GB 50074—2014第5.2.3条，除规范列出的例外储罐外，储罐至少应与1条消防车道相邻；储罐中心至少与2条消防车道的距离均不应大于120 m，条件受限时，储罐中心与最近一条消防车道之间的距离不应大于80 m。本设计按更便于救援的环路布置控制，确保各储罐中心至最近消防车道不大于80 m，并在总平面图中逐罐标注核验距离。</w:t>
      </w:r>
    </w:p>
    <w:p>
      <w:pPr>
        <w:widowControl/>
        <w:spacing w:line="360" w:lineRule="auto"/>
        <w:ind w:firstLine="480"/>
        <w:jc w:val="both"/>
      </w:pPr>
      <w:r>
        <w:rPr>
          <w:rFonts w:ascii="Times New Roman" w:hAnsi="Times New Roman" w:eastAsia="宋体"/>
          <w:b w:val="0"/>
          <w:sz w:val="24"/>
        </w:rPr>
        <w:t>本项目单个罐组容量均小于12万m³，因此GB 50074—2014第5.2.2条关于“总容量大于或等于12万m³的罐组至少设置两个环形消防车道入口”的强制条件并不适用。但考虑用地面积较大、广深公路将场地分隔及应急可靠性，储油区整体仍设置两个不同方向接入环形消防车道的路口，任一路口受阻时消防车辆可由另一方向进入。消防车道与防火堤外堤脚线的距离按第5.2.7条控制为不小于3.0 m。</w:t>
      </w:r>
    </w:p>
    <w:p>
      <w:pPr>
        <w:keepNext/>
        <w:widowControl/>
        <w:spacing w:before="100" w:after="60" w:line="360" w:lineRule="auto"/>
        <w:jc w:val="left"/>
      </w:pPr>
      <w:r>
        <w:rPr>
          <w:rFonts w:ascii="Times New Roman" w:hAnsi="Times New Roman" w:eastAsia="黑体"/>
          <w:b/>
          <w:sz w:val="24"/>
        </w:rPr>
        <w:t>（4）公路装卸区道路</w:t>
      </w:r>
    </w:p>
    <w:p>
      <w:pPr>
        <w:widowControl/>
        <w:spacing w:line="360" w:lineRule="auto"/>
        <w:ind w:firstLine="480"/>
        <w:jc w:val="both"/>
      </w:pPr>
      <w:r>
        <w:rPr>
          <w:rFonts w:ascii="Times New Roman" w:hAnsi="Times New Roman" w:eastAsia="宋体"/>
          <w:b w:val="0"/>
          <w:sz w:val="24"/>
        </w:rPr>
        <w:t>公路发油区紧邻广深公路布置，设置油罐车专用出入口，外来车辆不进入储油区和行政管理区。按照GB 50074—2014第5.2.5条，汽车罐车装卸设施应设置能够保证消防车辆顺利接近火灾场地的消防车道。本设计在装车栈桥、装车泵房、等候缓冲区和回车场之间组织单向循环交通，主行车道路面宽度取6.0 m；车辆依次完成入场检查、排队、装车、复核和驶离，避免倒车进入鹤位及交叉调头。指导资料提出汽车装卸区宜靠近公路干线、与其他区域隔开并设置独立出入口，本设计据此进行交通组织</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360" w:lineRule="auto"/>
        <w:ind w:firstLine="480"/>
        <w:jc w:val="both"/>
      </w:pPr>
      <w:r>
        <w:rPr>
          <w:rFonts w:ascii="Times New Roman" w:hAnsi="Times New Roman" w:eastAsia="宋体"/>
          <w:b w:val="0"/>
          <w:sz w:val="24"/>
        </w:rPr>
        <w:t>装车区道路最大纵坡控制在6%以内，装车鹤位、定量装车控制点及车辆停靠段应尽量平缓，并通过车辆制动和防溜设施保证停车稳定。弯道和出入口按路面内缘半径不小于12 m布置，同时结合油罐车外轮差扩大弯道有效路面。15 m×15 m回车场仅作为局部尽头路段的兜底设施，正常运输路线不得依赖回车场掉头。</w:t>
      </w:r>
    </w:p>
    <w:p>
      <w:pPr>
        <w:keepNext/>
        <w:widowControl/>
        <w:spacing w:before="100" w:after="60" w:line="360" w:lineRule="auto"/>
        <w:jc w:val="left"/>
      </w:pPr>
      <w:r>
        <w:rPr>
          <w:rFonts w:ascii="Times New Roman" w:hAnsi="Times New Roman" w:eastAsia="黑体"/>
          <w:b/>
          <w:sz w:val="24"/>
        </w:rPr>
        <w:t>（5）辅助生产区与行政管理区道路</w:t>
      </w:r>
    </w:p>
    <w:p>
      <w:pPr>
        <w:widowControl/>
        <w:spacing w:line="360" w:lineRule="auto"/>
        <w:ind w:firstLine="480"/>
        <w:jc w:val="both"/>
      </w:pPr>
      <w:r>
        <w:rPr>
          <w:rFonts w:ascii="Times New Roman" w:hAnsi="Times New Roman" w:eastAsia="宋体"/>
          <w:b w:val="0"/>
          <w:sz w:val="24"/>
        </w:rPr>
        <w:t>辅助生产区沿消防泵房、变配电间、机修间、仓库、化验室及油气回收装置布置3.5～4.0 m宽巡检或检修道路。需要吊装、设备更换或消防车辆到达的建筑采用4.0 m路面，并在设备运输一侧预留临时作业面；仅供日常巡检且行车不频繁的单向支路可取3.5 m。支路与主干道连接处采用圆顺转角，严禁在变配电间入口、消防泵房入口和应急疏散通道前设置停车位。</w:t>
      </w:r>
    </w:p>
    <w:p>
      <w:pPr>
        <w:widowControl/>
        <w:spacing w:line="360" w:lineRule="auto"/>
        <w:ind w:firstLine="480"/>
        <w:jc w:val="both"/>
      </w:pPr>
      <w:r>
        <w:rPr>
          <w:rFonts w:ascii="Times New Roman" w:hAnsi="Times New Roman" w:eastAsia="宋体"/>
          <w:b w:val="0"/>
          <w:sz w:val="24"/>
        </w:rPr>
        <w:t>行政管理区设置独立主入口，供职工通勤、办公来访和普通车辆使用，与油罐车专用通道物理分隔。行政道路与生产道路仅保留受控内部联络，平时通过门禁或隔离设施限制外来车辆进入生产区，事故状态下可作为应急疏散或救援备用通道。人员步行路线尽量不横穿油罐车循环线；必须交叉时设置清晰标线、警示和照明。</w:t>
      </w:r>
    </w:p>
    <w:p>
      <w:pPr>
        <w:keepNext/>
        <w:widowControl/>
        <w:spacing w:before="100" w:after="60" w:line="360" w:lineRule="auto"/>
        <w:jc w:val="left"/>
      </w:pPr>
      <w:r>
        <w:rPr>
          <w:rFonts w:ascii="Times New Roman" w:hAnsi="Times New Roman" w:eastAsia="黑体"/>
          <w:b/>
          <w:sz w:val="24"/>
        </w:rPr>
        <w:t>（6）出入口及交通分流</w:t>
      </w:r>
    </w:p>
    <w:p>
      <w:pPr>
        <w:widowControl/>
        <w:spacing w:line="360" w:lineRule="auto"/>
        <w:ind w:firstLine="480"/>
        <w:jc w:val="both"/>
      </w:pPr>
      <w:r>
        <w:rPr>
          <w:rFonts w:ascii="Times New Roman" w:hAnsi="Times New Roman" w:eastAsia="宋体"/>
          <w:b w:val="0"/>
          <w:sz w:val="24"/>
        </w:rPr>
        <w:t>库区设置两处主要独立对外出入口：一处服务生产运输，直接联系公路装卸区和油罐车等候区；另一处服务行政办公，直接联系门卫、停车场和综合办公区。由于项目用地分布在广深公路两旁，两侧地块应分别形成完整的内部道路和消防通行体系，不以广深公路作为库内循环道路。跨越或改变市政道路出入口的位置、数量和渠化形式，应取得道路交通主管部门许可，方案阶段不得自行设置平交穿越。</w:t>
      </w:r>
    </w:p>
    <w:p>
      <w:pPr>
        <w:widowControl/>
        <w:spacing w:line="360" w:lineRule="auto"/>
        <w:ind w:firstLine="480"/>
        <w:jc w:val="both"/>
      </w:pPr>
      <w:r>
        <w:rPr>
          <w:rFonts w:ascii="Times New Roman" w:hAnsi="Times New Roman" w:eastAsia="宋体"/>
          <w:b w:val="0"/>
          <w:sz w:val="24"/>
        </w:rPr>
        <w:t>生产运输出入口内侧设置足够长度的车辆核验和缓冲空间，避免排队车辆占用广深公路主线。入口与出口条件允许时分开设置，使油罐车保持单向流动；若受红线限制采用同一门区，则应以物理分隔和交通信号组织双向进出。门区、弯道和鹤位前不得设置影响5.0 m净空的架空设施。</w:t>
      </w:r>
    </w:p>
    <w:p>
      <w:pPr>
        <w:keepNext/>
        <w:widowControl/>
        <w:spacing w:before="100" w:after="60" w:line="360" w:lineRule="auto"/>
        <w:jc w:val="left"/>
      </w:pPr>
      <w:r>
        <w:rPr>
          <w:rFonts w:ascii="Times New Roman" w:hAnsi="Times New Roman" w:eastAsia="黑体"/>
          <w:b/>
          <w:sz w:val="24"/>
        </w:rPr>
        <w:t>（7）道路竖向、路基与路面</w:t>
      </w:r>
    </w:p>
    <w:p>
      <w:pPr>
        <w:widowControl/>
        <w:spacing w:line="360" w:lineRule="auto"/>
        <w:ind w:firstLine="480"/>
        <w:jc w:val="both"/>
      </w:pPr>
      <w:r>
        <w:rPr>
          <w:rFonts w:ascii="Times New Roman" w:hAnsi="Times New Roman" w:eastAsia="宋体"/>
          <w:b w:val="0"/>
          <w:sz w:val="24"/>
        </w:rPr>
        <w:t>道路纵断面应与前述竖向布置统一设计。GB 50074—2014第5.2.6条规定，储罐组周边消防车道路面标高宜高于防火堤外侧地面设计标高0.5 m及以上；只有当消防车道位于地势较高处时，路堤高度才可适当降低，但不宜小于0.3 m。该条款与油库等级无关，因此本设计一般按高差不小于0.5 m控制，不将0.3 m作为二级油库的普遍取值。</w:t>
      </w:r>
    </w:p>
    <w:p>
      <w:pPr>
        <w:widowControl/>
        <w:spacing w:line="360" w:lineRule="auto"/>
        <w:ind w:firstLine="480"/>
        <w:jc w:val="both"/>
      </w:pPr>
      <w:r>
        <w:rPr>
          <w:rFonts w:ascii="Times New Roman" w:hAnsi="Times New Roman" w:eastAsia="宋体"/>
          <w:b w:val="0"/>
          <w:sz w:val="24"/>
        </w:rPr>
        <w:t>主干道路面横坡取1.5%～2.0%，罐区道路宜向防火堤外侧排水，避免路面径流进入堤内。道路与建筑入口、装车场坪、回车场及环形消防车道连接处进行三维高程校核，防止交叉口出现反坡和积水。黄埔区降雨量大，广州市2023年发布的黄埔区暴雨强度成果应作为道路边沟、雨水口和横向排水能力复核的地方参数来源</w:t>
      </w:r>
      <w:r>
        <w:rPr>
          <w:rFonts w:ascii="Times New Roman" w:hAnsi="Times New Roman" w:eastAsia="宋体"/>
          <w:b w:val="0"/>
          <w:sz w:val="24"/>
          <w:vertAlign w:val="superscript"/>
        </w:rPr>
        <w:t>[25]</w:t>
      </w:r>
      <w:r>
        <w:rPr>
          <w:rFonts w:ascii="Times New Roman" w:hAnsi="Times New Roman" w:eastAsia="宋体"/>
          <w:b w:val="0"/>
          <w:sz w:val="24"/>
        </w:rPr>
        <w:t>。沿外部道路边界设置截水设施，防止广深公路径流进入库内；只有在地形和水文资料证实存在河涌或高外水影响时，才设置相应防倒灌和提升措施。</w:t>
      </w:r>
    </w:p>
    <w:p>
      <w:pPr>
        <w:widowControl/>
        <w:spacing w:line="360" w:lineRule="auto"/>
        <w:ind w:firstLine="480"/>
        <w:jc w:val="both"/>
      </w:pPr>
      <w:r>
        <w:rPr>
          <w:rFonts w:ascii="Times New Roman" w:hAnsi="Times New Roman" w:eastAsia="宋体"/>
          <w:b w:val="0"/>
          <w:sz w:val="24"/>
        </w:rPr>
        <w:t>黄埔区不同地段的地基条件差异较大，不能在没有岩土勘察资料的情况下笼统认定全场为软基或直接确定换填深度。施工图阶段应依据勘察报告进行承载力、沉降和地下水影响评价；若确认存在淤泥质土、软弱填土或高压缩性土层，再结合道路荷载选用换填、预压排水固结、复合地基或桩基等处理方式。主干道和装车区承受重型油罐车反复荷载，路面暂按重载水泥混凝土路面考虑，结构层厚度通过交通量、轴载、地基回弹模量和防洪标高计算确定。</w:t>
      </w:r>
    </w:p>
    <w:p>
      <w:pPr>
        <w:keepNext/>
        <w:widowControl/>
        <w:spacing w:before="100" w:after="60" w:line="360" w:lineRule="auto"/>
        <w:jc w:val="left"/>
      </w:pPr>
      <w:r>
        <w:rPr>
          <w:rFonts w:ascii="Times New Roman" w:hAnsi="Times New Roman" w:eastAsia="黑体"/>
          <w:b/>
          <w:sz w:val="24"/>
        </w:rPr>
        <w:t>（8）道路安全设施及图纸表达</w:t>
      </w:r>
    </w:p>
    <w:p>
      <w:pPr>
        <w:widowControl/>
        <w:spacing w:line="360" w:lineRule="auto"/>
        <w:ind w:firstLine="480"/>
        <w:jc w:val="both"/>
      </w:pPr>
      <w:r>
        <w:rPr>
          <w:rFonts w:ascii="Times New Roman" w:hAnsi="Times New Roman" w:eastAsia="宋体"/>
          <w:b w:val="0"/>
          <w:sz w:val="24"/>
        </w:rPr>
        <w:t>道路总平面图应标注道路中心线、路面边线、道路宽度、转弯半径、坡向、控制标高、出入口、回车场、限高设施、消防车道净空、道路与防火堤外堤脚线距离以及储罐中心至消防车道的校核距离。油罐车专用路线、行政车辆路线和消防救援路线采用不同线型或颜色区分，并设置禁停区、导向标线、门禁、防撞设施和夜间照明。消防车道、消防登高或取水设施周边不得长期停车、堆物或布置固定障碍物。</w:t>
      </w:r>
    </w:p>
    <w:p>
      <w:pPr>
        <w:widowControl/>
        <w:spacing w:line="360" w:lineRule="auto"/>
        <w:ind w:firstLine="480"/>
        <w:jc w:val="both"/>
      </w:pPr>
      <w:r>
        <w:rPr>
          <w:rFonts w:ascii="Times New Roman" w:hAnsi="Times New Roman" w:eastAsia="宋体"/>
          <w:b w:val="0"/>
          <w:sz w:val="24"/>
        </w:rPr>
        <w:t>综上，本项目采用主干道路面6.0 m、辅助道路3.5～4.0 m、路面内缘转弯半径不小于12 m、净空高度不小于5.0 m、最大纵坡不大于6%、横坡1.5%～2.0%的道路方案。储油区消防道路成环，公路装卸区组织油罐车单向循环，生产运输与行政办公设置独立出入口。消防车道路面与防火堤外侧地面一般按不小于0.5 m高差控制；0.3 m仅作为高地势条件下的规范下限，不按二级油库直接套用。</w:t>
      </w:r>
    </w:p>
    <w:p>
      <w:pPr>
        <w:keepNext/>
        <w:widowControl/>
        <w:spacing w:before="100" w:after="60" w:line="360" w:lineRule="auto"/>
        <w:jc w:val="left"/>
      </w:pPr>
      <w:r>
        <w:rPr>
          <w:rFonts w:ascii="Times New Roman" w:hAnsi="Times New Roman" w:eastAsia="黑体"/>
          <w:b/>
          <w:sz w:val="24"/>
        </w:rPr>
        <w:t>本节引用的参考文献（编号沿用论文总参考文献表）</w:t>
      </w:r>
    </w:p>
    <w:p>
      <w:pPr>
        <w:widowControl/>
        <w:spacing w:line="240" w:lineRule="auto"/>
        <w:ind w:left="420" w:hanging="420"/>
        <w:jc w:val="left"/>
      </w:pPr>
      <w:r>
        <w:rPr>
          <w:rFonts w:ascii="Times New Roman" w:hAnsi="Times New Roman" w:eastAsia="宋体"/>
          <w:b w:val="0"/>
          <w:sz w:val="20"/>
        </w:rPr>
        <w:t>[18] 邢科伟, 马秀让, 刘占卿. 油库加油站设计数据图表手册[M]. 北京: 中国石化出版社, 2015: 82-83.</w:t>
      </w:r>
    </w:p>
    <w:p>
      <w:pPr>
        <w:widowControl/>
        <w:spacing w:line="240" w:lineRule="auto"/>
        <w:ind w:left="420" w:hanging="420"/>
        <w:jc w:val="left"/>
      </w:pPr>
      <w:r>
        <w:rPr>
          <w:rFonts w:ascii="Times New Roman" w:hAnsi="Times New Roman" w:eastAsia="宋体"/>
          <w:b w:val="0"/>
          <w:sz w:val="20"/>
        </w:rPr>
        <w:t>[19] 油库毕业设计指导书[Z]. 第五章“油库设计”: 139-146.</w:t>
      </w:r>
    </w:p>
    <w:p>
      <w:pPr>
        <w:widowControl/>
        <w:spacing w:line="240" w:lineRule="auto"/>
        <w:ind w:left="420" w:hanging="420"/>
        <w:jc w:val="left"/>
      </w:pPr>
      <w:r>
        <w:rPr>
          <w:rFonts w:ascii="Times New Roman" w:hAnsi="Times New Roman" w:eastAsia="宋体"/>
          <w:b w:val="0"/>
          <w:sz w:val="20"/>
        </w:rPr>
        <w:t>[25] 广州市水务局, 广州市气象局. 广州市暴雨强度公式编制与设计暴雨雨型研究技术报告（简本）[R/OL]. 2023-03-07[2026-07-18]. https://swj.gz.gov.cn/gkmlpt/content/8/8835/post_8835843.html.</w:t>
      </w:r>
    </w:p>
    <w:sectPr w:rsidR="00FC693F" w:rsidRPr="0006063C" w:rsidSect="00034616">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3.2.4 库区道路规划</dc:title>
  <dc:subject>广州黄埔二级油库毕业设计道路规划</dc:subject>
  <dc:creator>裴慧琳</dc:creator>
  <cp:keywords/>
  <dc:description>generated by python-docx</dc:description>
  <cp:lastModifiedBy/>
  <cp:revision>1</cp:revision>
  <dcterms:created xsi:type="dcterms:W3CDTF">2013-12-23T23:15:00Z</dcterms:created>
  <dcterms:modified xsi:type="dcterms:W3CDTF">2013-12-23T23:15:00Z</dcterms:modified>
  <cp:category/>
</cp:coreProperties>
</file>