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53ECC">
      <w:pPr>
        <w:pStyle w:val="7"/>
        <w:bidi w:val="0"/>
        <w:rPr>
          <w:rFonts w:hint="eastAsia"/>
          <w:lang w:val="en-US" w:eastAsia="zh-CN"/>
        </w:rPr>
      </w:pPr>
      <w:r>
        <w:rPr>
          <w:rFonts w:hint="eastAsia"/>
          <w:lang w:val="en-US" w:eastAsia="zh-CN"/>
        </w:rPr>
        <w:t>第4章 油库的总平面设计</w:t>
      </w:r>
    </w:p>
    <w:p w14:paraId="18986A34">
      <w:pPr>
        <w:pStyle w:val="8"/>
        <w:bidi w:val="0"/>
        <w:rPr>
          <w:rFonts w:hint="default"/>
          <w:lang w:val="en-US" w:eastAsia="zh-CN"/>
        </w:rPr>
      </w:pPr>
      <w:r>
        <w:rPr>
          <w:rFonts w:hint="eastAsia"/>
          <w:lang w:val="en-US" w:eastAsia="zh-CN"/>
        </w:rPr>
        <w:t>4.1油库容量和分级</w:t>
      </w:r>
    </w:p>
    <w:p w14:paraId="57AB2880">
      <w:pPr>
        <w:bidi w:val="0"/>
      </w:pPr>
      <w:r>
        <w:t>本油库主要储存92号汽油、95号汽油和0号柴油。三种油品均采用管道进库，出库采用管道运输和公路运输相结合的方式。各油品年周转量及收发油方式见表3-2。</w:t>
      </w:r>
    </w:p>
    <w:p w14:paraId="245BDFE3">
      <w:pPr>
        <w:pStyle w:val="9"/>
        <w:bidi w:val="0"/>
      </w:pPr>
      <w:r>
        <w:t>表3-2  各油品年周转量及收发油方式</w:t>
      </w:r>
    </w:p>
    <w:tbl>
      <w:tblPr>
        <w:tblStyle w:val="4"/>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50"/>
        <w:gridCol w:w="1250"/>
        <w:gridCol w:w="1250"/>
        <w:gridCol w:w="1250"/>
        <w:gridCol w:w="1250"/>
        <w:gridCol w:w="2000"/>
      </w:tblGrid>
      <w:tr w14:paraId="379E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0" w:type="dxa"/>
            <w:shd w:val="clear" w:color="auto" w:fill="E7E6E6"/>
            <w:tcMar>
              <w:top w:w="80" w:type="dxa"/>
              <w:left w:w="90" w:type="dxa"/>
              <w:bottom w:w="80" w:type="dxa"/>
              <w:right w:w="90" w:type="dxa"/>
            </w:tcMar>
            <w:vAlign w:val="center"/>
          </w:tcPr>
          <w:p w14:paraId="5CF41966">
            <w:pPr>
              <w:spacing w:before="0" w:after="0" w:line="240" w:lineRule="auto"/>
              <w:jc w:val="center"/>
            </w:pPr>
            <w:r>
              <w:rPr>
                <w:rFonts w:ascii="Times New Roman" w:hAnsi="Times New Roman" w:eastAsia="宋体"/>
                <w:b/>
                <w:sz w:val="17"/>
              </w:rPr>
              <w:t>油品</w:t>
            </w:r>
          </w:p>
        </w:tc>
        <w:tc>
          <w:tcPr>
            <w:tcW w:w="1250" w:type="dxa"/>
            <w:shd w:val="clear" w:color="auto" w:fill="E7E6E6"/>
            <w:tcMar>
              <w:top w:w="80" w:type="dxa"/>
              <w:left w:w="90" w:type="dxa"/>
              <w:bottom w:w="80" w:type="dxa"/>
              <w:right w:w="90" w:type="dxa"/>
            </w:tcMar>
            <w:vAlign w:val="center"/>
          </w:tcPr>
          <w:p w14:paraId="1D4D5ECC">
            <w:pPr>
              <w:spacing w:before="0" w:after="0" w:line="240" w:lineRule="auto"/>
              <w:jc w:val="center"/>
            </w:pPr>
            <w:r>
              <w:rPr>
                <w:rFonts w:ascii="Times New Roman" w:hAnsi="Times New Roman" w:eastAsia="宋体"/>
                <w:b/>
                <w:sz w:val="17"/>
              </w:rPr>
              <w:t>年进库量/（×10⁴t）</w:t>
            </w:r>
          </w:p>
        </w:tc>
        <w:tc>
          <w:tcPr>
            <w:tcW w:w="1250" w:type="dxa"/>
            <w:shd w:val="clear" w:color="auto" w:fill="E7E6E6"/>
            <w:tcMar>
              <w:top w:w="80" w:type="dxa"/>
              <w:left w:w="90" w:type="dxa"/>
              <w:bottom w:w="80" w:type="dxa"/>
              <w:right w:w="90" w:type="dxa"/>
            </w:tcMar>
            <w:vAlign w:val="center"/>
          </w:tcPr>
          <w:p w14:paraId="7BFF8277">
            <w:pPr>
              <w:spacing w:before="0" w:after="0" w:line="240" w:lineRule="auto"/>
              <w:jc w:val="center"/>
            </w:pPr>
            <w:r>
              <w:rPr>
                <w:rFonts w:ascii="Times New Roman" w:hAnsi="Times New Roman" w:eastAsia="宋体"/>
                <w:b/>
                <w:sz w:val="17"/>
              </w:rPr>
              <w:t>进库方式及比例</w:t>
            </w:r>
          </w:p>
        </w:tc>
        <w:tc>
          <w:tcPr>
            <w:tcW w:w="1250" w:type="dxa"/>
            <w:shd w:val="clear" w:color="auto" w:fill="E7E6E6"/>
            <w:tcMar>
              <w:top w:w="80" w:type="dxa"/>
              <w:left w:w="90" w:type="dxa"/>
              <w:bottom w:w="80" w:type="dxa"/>
              <w:right w:w="90" w:type="dxa"/>
            </w:tcMar>
            <w:vAlign w:val="center"/>
          </w:tcPr>
          <w:p w14:paraId="618D7443">
            <w:pPr>
              <w:spacing w:before="0" w:after="0" w:line="240" w:lineRule="auto"/>
              <w:jc w:val="center"/>
            </w:pPr>
            <w:r>
              <w:rPr>
                <w:rFonts w:ascii="Times New Roman" w:hAnsi="Times New Roman" w:eastAsia="宋体"/>
                <w:b/>
                <w:sz w:val="17"/>
              </w:rPr>
              <w:t>年出库量/（×10⁴t）</w:t>
            </w:r>
          </w:p>
        </w:tc>
        <w:tc>
          <w:tcPr>
            <w:tcW w:w="1250" w:type="dxa"/>
            <w:shd w:val="clear" w:color="auto" w:fill="E7E6E6"/>
            <w:tcMar>
              <w:top w:w="80" w:type="dxa"/>
              <w:left w:w="90" w:type="dxa"/>
              <w:bottom w:w="80" w:type="dxa"/>
              <w:right w:w="90" w:type="dxa"/>
            </w:tcMar>
            <w:vAlign w:val="center"/>
          </w:tcPr>
          <w:p w14:paraId="7483C8F7">
            <w:pPr>
              <w:spacing w:before="0" w:after="0" w:line="240" w:lineRule="auto"/>
              <w:jc w:val="center"/>
            </w:pPr>
            <w:r>
              <w:rPr>
                <w:rFonts w:ascii="Times New Roman" w:hAnsi="Times New Roman" w:eastAsia="宋体"/>
                <w:b/>
                <w:sz w:val="17"/>
              </w:rPr>
              <w:t>管输出库量/（×10⁴t）</w:t>
            </w:r>
          </w:p>
        </w:tc>
        <w:tc>
          <w:tcPr>
            <w:tcW w:w="1250" w:type="dxa"/>
            <w:shd w:val="clear" w:color="auto" w:fill="E7E6E6"/>
            <w:tcMar>
              <w:top w:w="80" w:type="dxa"/>
              <w:left w:w="90" w:type="dxa"/>
              <w:bottom w:w="80" w:type="dxa"/>
              <w:right w:w="90" w:type="dxa"/>
            </w:tcMar>
            <w:vAlign w:val="center"/>
          </w:tcPr>
          <w:p w14:paraId="5F9C8B3F">
            <w:pPr>
              <w:spacing w:before="0" w:after="0" w:line="240" w:lineRule="auto"/>
              <w:jc w:val="center"/>
            </w:pPr>
            <w:r>
              <w:rPr>
                <w:rFonts w:ascii="Times New Roman" w:hAnsi="Times New Roman" w:eastAsia="宋体"/>
                <w:b/>
                <w:sz w:val="17"/>
              </w:rPr>
              <w:t>公路出库量/（×10⁴t）</w:t>
            </w:r>
          </w:p>
        </w:tc>
        <w:tc>
          <w:tcPr>
            <w:tcW w:w="2000" w:type="dxa"/>
            <w:shd w:val="clear" w:color="auto" w:fill="E7E6E6"/>
            <w:tcMar>
              <w:top w:w="80" w:type="dxa"/>
              <w:left w:w="90" w:type="dxa"/>
              <w:bottom w:w="80" w:type="dxa"/>
              <w:right w:w="90" w:type="dxa"/>
            </w:tcMar>
            <w:vAlign w:val="center"/>
          </w:tcPr>
          <w:p w14:paraId="54914BD7">
            <w:pPr>
              <w:spacing w:before="0" w:after="0" w:line="240" w:lineRule="auto"/>
              <w:jc w:val="center"/>
            </w:pPr>
            <w:r>
              <w:rPr>
                <w:rFonts w:ascii="Times New Roman" w:hAnsi="Times New Roman" w:eastAsia="宋体"/>
                <w:b/>
                <w:sz w:val="17"/>
              </w:rPr>
              <w:t>出库方式及比例</w:t>
            </w:r>
          </w:p>
        </w:tc>
      </w:tr>
      <w:tr w14:paraId="7846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315B2E9E">
            <w:pPr>
              <w:spacing w:before="0" w:after="0" w:line="240" w:lineRule="auto"/>
              <w:jc w:val="center"/>
            </w:pPr>
            <w:r>
              <w:rPr>
                <w:rFonts w:ascii="Times New Roman" w:hAnsi="Times New Roman" w:eastAsia="宋体"/>
                <w:b w:val="0"/>
                <w:sz w:val="17"/>
              </w:rPr>
              <w:t>92号汽油</w:t>
            </w:r>
          </w:p>
        </w:tc>
        <w:tc>
          <w:tcPr>
            <w:tcW w:w="1250" w:type="dxa"/>
            <w:tcMar>
              <w:top w:w="80" w:type="dxa"/>
              <w:left w:w="90" w:type="dxa"/>
              <w:bottom w:w="80" w:type="dxa"/>
              <w:right w:w="90" w:type="dxa"/>
            </w:tcMar>
            <w:vAlign w:val="center"/>
          </w:tcPr>
          <w:p w14:paraId="2C83804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12</w:t>
            </w:r>
          </w:p>
        </w:tc>
        <w:tc>
          <w:tcPr>
            <w:tcW w:w="1250" w:type="dxa"/>
            <w:tcMar>
              <w:top w:w="80" w:type="dxa"/>
              <w:left w:w="90" w:type="dxa"/>
              <w:bottom w:w="80" w:type="dxa"/>
              <w:right w:w="90" w:type="dxa"/>
            </w:tcMar>
            <w:vAlign w:val="center"/>
          </w:tcPr>
          <w:p w14:paraId="5AE823B9">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68AD432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12</w:t>
            </w:r>
          </w:p>
        </w:tc>
        <w:tc>
          <w:tcPr>
            <w:tcW w:w="1250" w:type="dxa"/>
            <w:tcMar>
              <w:top w:w="80" w:type="dxa"/>
              <w:left w:w="90" w:type="dxa"/>
              <w:bottom w:w="80" w:type="dxa"/>
              <w:right w:w="90" w:type="dxa"/>
            </w:tcMar>
            <w:vAlign w:val="center"/>
          </w:tcPr>
          <w:p w14:paraId="4CBB9685">
            <w:pPr>
              <w:spacing w:before="0" w:after="0" w:line="240" w:lineRule="auto"/>
              <w:jc w:val="center"/>
            </w:pPr>
            <w:r>
              <w:rPr>
                <w:rFonts w:hint="eastAsia" w:ascii="Times New Roman" w:hAnsi="Times New Roman"/>
                <w:b w:val="0"/>
                <w:sz w:val="17"/>
                <w:lang w:val="en-US" w:eastAsia="zh-CN"/>
              </w:rPr>
              <w:t>10.2</w:t>
            </w:r>
            <w:r>
              <w:rPr>
                <w:rFonts w:ascii="Times New Roman" w:hAnsi="Times New Roman" w:eastAsia="宋体"/>
                <w:b w:val="0"/>
                <w:sz w:val="17"/>
              </w:rPr>
              <w:t>0</w:t>
            </w:r>
          </w:p>
        </w:tc>
        <w:tc>
          <w:tcPr>
            <w:tcW w:w="1250" w:type="dxa"/>
            <w:tcMar>
              <w:top w:w="80" w:type="dxa"/>
              <w:left w:w="90" w:type="dxa"/>
              <w:bottom w:w="80" w:type="dxa"/>
              <w:right w:w="90" w:type="dxa"/>
            </w:tcMar>
            <w:vAlign w:val="center"/>
          </w:tcPr>
          <w:p w14:paraId="73D7DDFD">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1.80</w:t>
            </w:r>
          </w:p>
        </w:tc>
        <w:tc>
          <w:tcPr>
            <w:tcW w:w="2000" w:type="dxa"/>
            <w:tcMar>
              <w:top w:w="80" w:type="dxa"/>
              <w:left w:w="90" w:type="dxa"/>
              <w:bottom w:w="80" w:type="dxa"/>
              <w:right w:w="90" w:type="dxa"/>
            </w:tcMar>
            <w:vAlign w:val="center"/>
          </w:tcPr>
          <w:p w14:paraId="6D06BD1B">
            <w:pPr>
              <w:spacing w:before="0" w:after="0" w:line="240" w:lineRule="auto"/>
              <w:jc w:val="center"/>
            </w:pPr>
            <w:r>
              <w:rPr>
                <w:rFonts w:ascii="Times New Roman" w:hAnsi="Times New Roman" w:eastAsia="宋体"/>
                <w:b w:val="0"/>
                <w:sz w:val="17"/>
              </w:rPr>
              <w:t>管输（85%）、公路（15%）</w:t>
            </w:r>
          </w:p>
        </w:tc>
      </w:tr>
      <w:tr w14:paraId="6B56D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06472B4A">
            <w:pPr>
              <w:spacing w:before="0" w:after="0" w:line="240" w:lineRule="auto"/>
              <w:jc w:val="center"/>
            </w:pPr>
            <w:r>
              <w:rPr>
                <w:rFonts w:ascii="Times New Roman" w:hAnsi="Times New Roman" w:eastAsia="宋体"/>
                <w:b w:val="0"/>
                <w:sz w:val="17"/>
              </w:rPr>
              <w:t>95号汽油</w:t>
            </w:r>
          </w:p>
        </w:tc>
        <w:tc>
          <w:tcPr>
            <w:tcW w:w="1250" w:type="dxa"/>
            <w:tcMar>
              <w:top w:w="80" w:type="dxa"/>
              <w:left w:w="90" w:type="dxa"/>
              <w:bottom w:w="80" w:type="dxa"/>
              <w:right w:w="90" w:type="dxa"/>
            </w:tcMar>
            <w:vAlign w:val="center"/>
          </w:tcPr>
          <w:p w14:paraId="582CB748">
            <w:pPr>
              <w:spacing w:before="0" w:after="0" w:line="240" w:lineRule="auto"/>
              <w:jc w:val="center"/>
              <w:rPr>
                <w:rFonts w:hint="eastAsia" w:eastAsia="宋体"/>
                <w:lang w:eastAsia="zh-CN"/>
              </w:rPr>
            </w:pPr>
            <w:r>
              <w:rPr>
                <w:rFonts w:hint="eastAsia" w:ascii="Times New Roman" w:hAnsi="Times New Roman"/>
                <w:b w:val="0"/>
                <w:sz w:val="17"/>
                <w:lang w:val="en-US" w:eastAsia="zh-CN"/>
              </w:rPr>
              <w:t>8</w:t>
            </w:r>
          </w:p>
        </w:tc>
        <w:tc>
          <w:tcPr>
            <w:tcW w:w="1250" w:type="dxa"/>
            <w:tcMar>
              <w:top w:w="80" w:type="dxa"/>
              <w:left w:w="90" w:type="dxa"/>
              <w:bottom w:w="80" w:type="dxa"/>
              <w:right w:w="90" w:type="dxa"/>
            </w:tcMar>
            <w:vAlign w:val="center"/>
          </w:tcPr>
          <w:p w14:paraId="0590855A">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44BF2D7F">
            <w:pPr>
              <w:spacing w:before="0" w:after="0" w:line="240" w:lineRule="auto"/>
              <w:jc w:val="center"/>
              <w:rPr>
                <w:rFonts w:hint="eastAsia" w:eastAsia="宋体"/>
                <w:lang w:eastAsia="zh-CN"/>
              </w:rPr>
            </w:pPr>
            <w:r>
              <w:rPr>
                <w:rFonts w:hint="eastAsia" w:ascii="Times New Roman" w:hAnsi="Times New Roman"/>
                <w:b w:val="0"/>
                <w:sz w:val="17"/>
                <w:lang w:val="en-US" w:eastAsia="zh-CN"/>
              </w:rPr>
              <w:t>8</w:t>
            </w:r>
          </w:p>
        </w:tc>
        <w:tc>
          <w:tcPr>
            <w:tcW w:w="1250" w:type="dxa"/>
            <w:tcMar>
              <w:top w:w="80" w:type="dxa"/>
              <w:left w:w="90" w:type="dxa"/>
              <w:bottom w:w="80" w:type="dxa"/>
              <w:right w:w="90" w:type="dxa"/>
            </w:tcMar>
            <w:vAlign w:val="center"/>
          </w:tcPr>
          <w:p w14:paraId="059087CA">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7.20</w:t>
            </w:r>
          </w:p>
        </w:tc>
        <w:tc>
          <w:tcPr>
            <w:tcW w:w="1250" w:type="dxa"/>
            <w:tcMar>
              <w:top w:w="80" w:type="dxa"/>
              <w:left w:w="90" w:type="dxa"/>
              <w:bottom w:w="80" w:type="dxa"/>
              <w:right w:w="90" w:type="dxa"/>
            </w:tcMar>
            <w:vAlign w:val="center"/>
          </w:tcPr>
          <w:p w14:paraId="79ED8ED8">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0.8</w:t>
            </w:r>
          </w:p>
        </w:tc>
        <w:tc>
          <w:tcPr>
            <w:tcW w:w="2000" w:type="dxa"/>
            <w:tcMar>
              <w:top w:w="80" w:type="dxa"/>
              <w:left w:w="90" w:type="dxa"/>
              <w:bottom w:w="80" w:type="dxa"/>
              <w:right w:w="90" w:type="dxa"/>
            </w:tcMar>
            <w:vAlign w:val="center"/>
          </w:tcPr>
          <w:p w14:paraId="0C2DD8AE">
            <w:pPr>
              <w:spacing w:before="0" w:after="0" w:line="240" w:lineRule="auto"/>
              <w:jc w:val="center"/>
            </w:pPr>
            <w:r>
              <w:rPr>
                <w:rFonts w:ascii="Times New Roman" w:hAnsi="Times New Roman" w:eastAsia="宋体"/>
                <w:b w:val="0"/>
                <w:sz w:val="17"/>
              </w:rPr>
              <w:t>管输（90%）、公路（10%）</w:t>
            </w:r>
          </w:p>
        </w:tc>
      </w:tr>
      <w:tr w14:paraId="4C31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429B8911">
            <w:pPr>
              <w:spacing w:before="0" w:after="0" w:line="240" w:lineRule="auto"/>
              <w:jc w:val="center"/>
            </w:pPr>
            <w:r>
              <w:rPr>
                <w:rFonts w:ascii="Times New Roman" w:hAnsi="Times New Roman" w:eastAsia="宋体"/>
                <w:b w:val="0"/>
                <w:sz w:val="17"/>
              </w:rPr>
              <w:t>0号柴油</w:t>
            </w:r>
          </w:p>
        </w:tc>
        <w:tc>
          <w:tcPr>
            <w:tcW w:w="1250" w:type="dxa"/>
            <w:tcMar>
              <w:top w:w="80" w:type="dxa"/>
              <w:left w:w="90" w:type="dxa"/>
              <w:bottom w:w="80" w:type="dxa"/>
              <w:right w:w="90" w:type="dxa"/>
            </w:tcMar>
            <w:vAlign w:val="center"/>
          </w:tcPr>
          <w:p w14:paraId="6EC3C1CD">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w:t>
            </w:r>
          </w:p>
        </w:tc>
        <w:tc>
          <w:tcPr>
            <w:tcW w:w="1250" w:type="dxa"/>
            <w:tcMar>
              <w:top w:w="80" w:type="dxa"/>
              <w:left w:w="90" w:type="dxa"/>
              <w:bottom w:w="80" w:type="dxa"/>
              <w:right w:w="90" w:type="dxa"/>
            </w:tcMar>
            <w:vAlign w:val="center"/>
          </w:tcPr>
          <w:p w14:paraId="4F4BB3E6">
            <w:pPr>
              <w:spacing w:before="0" w:after="0" w:line="240" w:lineRule="auto"/>
              <w:jc w:val="center"/>
            </w:pPr>
            <w:r>
              <w:rPr>
                <w:rFonts w:ascii="Times New Roman" w:hAnsi="Times New Roman" w:eastAsia="宋体"/>
                <w:b w:val="0"/>
                <w:sz w:val="17"/>
              </w:rPr>
              <w:t>管道（100%）</w:t>
            </w:r>
          </w:p>
        </w:tc>
        <w:tc>
          <w:tcPr>
            <w:tcW w:w="1250" w:type="dxa"/>
            <w:tcMar>
              <w:top w:w="80" w:type="dxa"/>
              <w:left w:w="90" w:type="dxa"/>
              <w:bottom w:w="80" w:type="dxa"/>
              <w:right w:w="90" w:type="dxa"/>
            </w:tcMar>
            <w:vAlign w:val="center"/>
          </w:tcPr>
          <w:p w14:paraId="3A176594">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w:t>
            </w:r>
          </w:p>
        </w:tc>
        <w:tc>
          <w:tcPr>
            <w:tcW w:w="1250" w:type="dxa"/>
            <w:tcMar>
              <w:top w:w="80" w:type="dxa"/>
              <w:left w:w="90" w:type="dxa"/>
              <w:bottom w:w="80" w:type="dxa"/>
              <w:right w:w="90" w:type="dxa"/>
            </w:tcMar>
            <w:vAlign w:val="center"/>
          </w:tcPr>
          <w:p w14:paraId="12DBEE91">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9.00</w:t>
            </w:r>
          </w:p>
        </w:tc>
        <w:tc>
          <w:tcPr>
            <w:tcW w:w="1250" w:type="dxa"/>
            <w:tcMar>
              <w:top w:w="80" w:type="dxa"/>
              <w:left w:w="90" w:type="dxa"/>
              <w:bottom w:w="80" w:type="dxa"/>
              <w:right w:w="90" w:type="dxa"/>
            </w:tcMar>
            <w:vAlign w:val="center"/>
          </w:tcPr>
          <w:p w14:paraId="2E2C1A8A">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1.00</w:t>
            </w:r>
          </w:p>
        </w:tc>
        <w:tc>
          <w:tcPr>
            <w:tcW w:w="2000" w:type="dxa"/>
            <w:tcMar>
              <w:top w:w="80" w:type="dxa"/>
              <w:left w:w="90" w:type="dxa"/>
              <w:bottom w:w="80" w:type="dxa"/>
              <w:right w:w="90" w:type="dxa"/>
            </w:tcMar>
            <w:vAlign w:val="center"/>
          </w:tcPr>
          <w:p w14:paraId="6F44DB1E">
            <w:pPr>
              <w:spacing w:before="0" w:after="0" w:line="240" w:lineRule="auto"/>
              <w:jc w:val="center"/>
            </w:pPr>
            <w:r>
              <w:rPr>
                <w:rFonts w:ascii="Times New Roman" w:hAnsi="Times New Roman" w:eastAsia="宋体"/>
                <w:b w:val="0"/>
                <w:sz w:val="17"/>
              </w:rPr>
              <w:t>管输（90%）、公路（10%）</w:t>
            </w:r>
          </w:p>
        </w:tc>
      </w:tr>
      <w:tr w14:paraId="56A8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tcMar>
              <w:top w:w="80" w:type="dxa"/>
              <w:left w:w="90" w:type="dxa"/>
              <w:bottom w:w="80" w:type="dxa"/>
              <w:right w:w="90" w:type="dxa"/>
            </w:tcMar>
            <w:vAlign w:val="center"/>
          </w:tcPr>
          <w:p w14:paraId="3FE8D4A9">
            <w:pPr>
              <w:spacing w:before="0" w:after="0" w:line="240" w:lineRule="auto"/>
              <w:jc w:val="center"/>
            </w:pPr>
            <w:r>
              <w:rPr>
                <w:rFonts w:ascii="Times New Roman" w:hAnsi="Times New Roman" w:eastAsia="宋体"/>
                <w:b w:val="0"/>
                <w:sz w:val="17"/>
              </w:rPr>
              <w:t>合计</w:t>
            </w:r>
          </w:p>
        </w:tc>
        <w:tc>
          <w:tcPr>
            <w:tcW w:w="1250" w:type="dxa"/>
            <w:tcMar>
              <w:top w:w="80" w:type="dxa"/>
              <w:left w:w="90" w:type="dxa"/>
              <w:bottom w:w="80" w:type="dxa"/>
              <w:right w:w="90" w:type="dxa"/>
            </w:tcMar>
            <w:vAlign w:val="center"/>
          </w:tcPr>
          <w:p w14:paraId="4DA6C7D2">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30</w:t>
            </w:r>
          </w:p>
        </w:tc>
        <w:tc>
          <w:tcPr>
            <w:tcW w:w="1250" w:type="dxa"/>
            <w:tcMar>
              <w:top w:w="80" w:type="dxa"/>
              <w:left w:w="90" w:type="dxa"/>
              <w:bottom w:w="80" w:type="dxa"/>
              <w:right w:w="90" w:type="dxa"/>
            </w:tcMar>
            <w:vAlign w:val="center"/>
          </w:tcPr>
          <w:p w14:paraId="5FFFCF26">
            <w:pPr>
              <w:spacing w:before="0" w:after="0" w:line="240" w:lineRule="auto"/>
              <w:jc w:val="center"/>
            </w:pPr>
            <w:r>
              <w:rPr>
                <w:rFonts w:ascii="Times New Roman" w:hAnsi="Times New Roman" w:eastAsia="宋体"/>
                <w:b w:val="0"/>
                <w:sz w:val="17"/>
              </w:rPr>
              <w:t>—</w:t>
            </w:r>
          </w:p>
        </w:tc>
        <w:tc>
          <w:tcPr>
            <w:tcW w:w="1250" w:type="dxa"/>
            <w:tcMar>
              <w:top w:w="80" w:type="dxa"/>
              <w:left w:w="90" w:type="dxa"/>
              <w:bottom w:w="80" w:type="dxa"/>
              <w:right w:w="90" w:type="dxa"/>
            </w:tcMar>
            <w:vAlign w:val="center"/>
          </w:tcPr>
          <w:p w14:paraId="1E7621B9">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30</w:t>
            </w:r>
          </w:p>
        </w:tc>
        <w:tc>
          <w:tcPr>
            <w:tcW w:w="1250" w:type="dxa"/>
            <w:tcMar>
              <w:top w:w="80" w:type="dxa"/>
              <w:left w:w="90" w:type="dxa"/>
              <w:bottom w:w="80" w:type="dxa"/>
              <w:right w:w="90" w:type="dxa"/>
            </w:tcMar>
            <w:vAlign w:val="center"/>
          </w:tcPr>
          <w:p w14:paraId="248DE0CE">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26.40</w:t>
            </w:r>
          </w:p>
        </w:tc>
        <w:tc>
          <w:tcPr>
            <w:tcW w:w="1250" w:type="dxa"/>
            <w:tcMar>
              <w:top w:w="80" w:type="dxa"/>
              <w:left w:w="90" w:type="dxa"/>
              <w:bottom w:w="80" w:type="dxa"/>
              <w:right w:w="90" w:type="dxa"/>
            </w:tcMar>
            <w:vAlign w:val="center"/>
          </w:tcPr>
          <w:p w14:paraId="67564295">
            <w:pPr>
              <w:spacing w:before="0" w:after="0" w:line="240" w:lineRule="auto"/>
              <w:jc w:val="center"/>
              <w:rPr>
                <w:rFonts w:hint="default" w:eastAsia="宋体"/>
                <w:lang w:val="en-US" w:eastAsia="zh-CN"/>
              </w:rPr>
            </w:pPr>
            <w:r>
              <w:rPr>
                <w:rFonts w:hint="eastAsia" w:ascii="Times New Roman" w:hAnsi="Times New Roman"/>
                <w:b w:val="0"/>
                <w:sz w:val="17"/>
                <w:lang w:val="en-US" w:eastAsia="zh-CN"/>
              </w:rPr>
              <w:t>3.60</w:t>
            </w:r>
          </w:p>
        </w:tc>
        <w:tc>
          <w:tcPr>
            <w:tcW w:w="2000" w:type="dxa"/>
            <w:tcMar>
              <w:top w:w="80" w:type="dxa"/>
              <w:left w:w="90" w:type="dxa"/>
              <w:bottom w:w="80" w:type="dxa"/>
              <w:right w:w="90" w:type="dxa"/>
            </w:tcMar>
            <w:vAlign w:val="center"/>
          </w:tcPr>
          <w:p w14:paraId="6047AD33">
            <w:pPr>
              <w:spacing w:before="0" w:after="0" w:line="240" w:lineRule="auto"/>
              <w:jc w:val="center"/>
            </w:pPr>
            <w:r>
              <w:rPr>
                <w:rFonts w:ascii="Times New Roman" w:hAnsi="Times New Roman" w:eastAsia="宋体"/>
                <w:b w:val="0"/>
                <w:sz w:val="17"/>
              </w:rPr>
              <w:t>—</w:t>
            </w:r>
          </w:p>
        </w:tc>
      </w:tr>
    </w:tbl>
    <w:p w14:paraId="667DE913">
      <w:pPr>
        <w:bidi w:val="0"/>
      </w:pPr>
      <w:r>
        <w:t>由表3-2可知，本油库年进库总量为</w:t>
      </w:r>
      <w:r>
        <w:rPr>
          <w:rFonts w:hint="eastAsia"/>
          <w:lang w:val="en-US" w:eastAsia="zh-CN"/>
        </w:rPr>
        <w:t>30</w:t>
      </w:r>
      <w:r>
        <w:t>×10⁴t，年出库总量为</w:t>
      </w:r>
      <w:r>
        <w:rPr>
          <w:rFonts w:hint="eastAsia"/>
          <w:lang w:val="en-US" w:eastAsia="zh-CN"/>
        </w:rPr>
        <w:t>30</w:t>
      </w:r>
      <w:r>
        <w:t>×10⁴t，其中管输出库量为</w:t>
      </w:r>
      <w:r>
        <w:rPr>
          <w:rFonts w:hint="eastAsia"/>
          <w:lang w:val="en-US" w:eastAsia="zh-CN"/>
        </w:rPr>
        <w:t>26.4</w:t>
      </w:r>
      <w:r>
        <w:t>×10⁴t，公路出库量为</w:t>
      </w:r>
      <w:r>
        <w:rPr>
          <w:rFonts w:hint="eastAsia"/>
          <w:lang w:val="en-US" w:eastAsia="zh-CN"/>
        </w:rPr>
        <w:t>3.6</w:t>
      </w:r>
      <w:r>
        <w:t>×10⁴t。由于油库全年进库量和出库量保持平衡，储罐容量计算中的年周转量应取年进库量或年出库量中的一项，不应将二者相加，否则会造成重复计算。因此，92号汽油、95号汽油和0号柴油的设计年周转量分别取</w:t>
      </w:r>
      <w:r>
        <w:rPr>
          <w:rFonts w:hint="eastAsia"/>
          <w:lang w:val="en-US" w:eastAsia="zh-CN"/>
        </w:rPr>
        <w:t>12</w:t>
      </w:r>
      <w:r>
        <w:t>×10⁴t、</w:t>
      </w:r>
      <w:r>
        <w:rPr>
          <w:rFonts w:hint="eastAsia"/>
          <w:lang w:val="en-US" w:eastAsia="zh-CN"/>
        </w:rPr>
        <w:t>8</w:t>
      </w:r>
      <w:r>
        <w:t>×10⁴t和</w:t>
      </w:r>
      <w:r>
        <w:rPr>
          <w:rFonts w:hint="eastAsia"/>
          <w:lang w:val="en-US" w:eastAsia="zh-CN"/>
        </w:rPr>
        <w:t>10</w:t>
      </w:r>
      <w:r>
        <w:t>×10⁴t。</w:t>
      </w:r>
    </w:p>
    <w:p w14:paraId="5C7CC7FF">
      <w:pPr>
        <w:bidi w:val="0"/>
        <w:rPr>
          <w:rStyle w:val="6"/>
          <w:rFonts w:ascii="Times New Roman" w:hAnsi="Times New Roman" w:cs="Times New Roman"/>
        </w:rPr>
      </w:pPr>
      <w:r>
        <w:t>油库容量应根据油品年周转量、年周转系数、油品设计密度和油罐利用系数确定，并结合油品分批接收、静置沉降、质量检验、连续发油和储罐检修等运行要求进行储罐选型。</w:t>
      </w:r>
      <w:r>
        <w:rPr>
          <w:rStyle w:val="6"/>
          <w:rFonts w:ascii="Times New Roman" w:hAnsi="Times New Roman" w:cs="Times New Roman"/>
        </w:rPr>
        <w:t>[19]</w:t>
      </w:r>
    </w:p>
    <w:p w14:paraId="3EFF6CF1">
      <w:pPr>
        <w:bidi w:val="0"/>
      </w:pPr>
      <w:r>
        <w:t>各油品所需公称储存容量按下式计算：</w:t>
      </w:r>
    </w:p>
    <w:p w14:paraId="08D7CB1E">
      <w:pPr>
        <w:bidi w:val="0"/>
      </w:pPr>
      <m:oMathPara>
        <m:oMath>
          <m:sSub>
            <m:sSubPr/>
            <m:e>
              <m:r>
                <m:rPr>
                  <m:sty m:val="p"/>
                </m:rPr>
                <w:rPr>
                  <w:rFonts w:ascii="Times New Roman" w:hAnsi="Times New Roman"/>
                </w:rPr>
                <m:t>V</m:t>
              </m:r>
            </m:e>
            <m:sub>
              <m:r>
                <m:rPr>
                  <m:sty m:val="p"/>
                </m:rPr>
                <w:rPr>
                  <w:rFonts w:ascii="Times New Roman" w:hAnsi="Times New Roman"/>
                </w:rPr>
                <m:t>i</m:t>
              </m:r>
            </m:sub>
          </m:sSub>
          <m:r>
            <m:rPr>
              <m:sty m:val="p"/>
            </m:rPr>
            <w:rPr>
              <w:rFonts w:ascii="Times New Roman" w:hAnsi="Times New Roman"/>
            </w:rPr>
            <m:t>=</m:t>
          </m:r>
          <m:f>
            <m:fPr/>
            <m:num>
              <m:sSub>
                <m:sSubPr/>
                <m:e>
                  <m:r>
                    <m:rPr>
                      <m:sty m:val="p"/>
                    </m:rPr>
                    <w:rPr>
                      <w:rFonts w:ascii="Times New Roman" w:hAnsi="Times New Roman"/>
                    </w:rPr>
                    <m:t>G</m:t>
                  </m:r>
                </m:e>
                <m:sub>
                  <m:r>
                    <m:rPr>
                      <m:sty m:val="p"/>
                    </m:rPr>
                    <w:rPr>
                      <w:rFonts w:ascii="Times New Roman" w:hAnsi="Times New Roman"/>
                    </w:rPr>
                    <m:t>i</m:t>
                  </m:r>
                </m:sub>
              </m:sSub>
            </m:num>
            <m:den>
              <m:r>
                <m:rPr>
                  <m:sty m:val="p"/>
                </m:rPr>
                <w:rPr>
                  <w:rFonts w:ascii="Times New Roman" w:hAnsi="Times New Roman"/>
                </w:rPr>
                <m:t>K</m:t>
              </m:r>
              <m:sSub>
                <m:sSubPr/>
                <m:e>
                  <m:r>
                    <m:rPr>
                      <m:sty m:val="p"/>
                    </m:rPr>
                    <w:rPr>
                      <w:rFonts w:ascii="Times New Roman" w:hAnsi="Times New Roman"/>
                    </w:rPr>
                    <m:t>ρ</m:t>
                  </m:r>
                </m:e>
                <m:sub>
                  <m:r>
                    <m:rPr>
                      <m:sty m:val="p"/>
                    </m:rPr>
                    <w:rPr>
                      <w:rFonts w:ascii="Times New Roman" w:hAnsi="Times New Roman"/>
                    </w:rPr>
                    <m:t>i</m:t>
                  </m:r>
                </m:sub>
              </m:sSub>
              <m:r>
                <m:rPr>
                  <m:sty m:val="p"/>
                </m:rPr>
                <w:rPr>
                  <w:rFonts w:ascii="Times New Roman" w:hAnsi="Times New Roman"/>
                </w:rPr>
                <m:t>η</m:t>
              </m:r>
            </m:den>
          </m:f>
        </m:oMath>
      </m:oMathPara>
    </w:p>
    <w:p w14:paraId="1FEA22B1">
      <w:pPr>
        <w:bidi w:val="0"/>
      </w:pPr>
      <w:r>
        <w:t>式中：</w:t>
      </w:r>
    </w:p>
    <w:p w14:paraId="6B9845CA">
      <w:pPr>
        <w:bidi w:val="0"/>
        <w:rPr>
          <w:rFonts w:hint="eastAsia"/>
        </w:rPr>
      </w:pPr>
      <w:r>
        <w:rPr>
          <w:rFonts w:hint="eastAsia"/>
        </w:rPr>
        <w:t>V。—-某种油品的设计容量,m’;G—该种油品的年周转额;1;</w:t>
      </w:r>
    </w:p>
    <w:p w14:paraId="77F4107F">
      <w:pPr>
        <w:bidi w:val="0"/>
        <w:rPr>
          <w:rFonts w:hint="eastAsia"/>
        </w:rPr>
      </w:pPr>
      <w:r>
        <w:rPr>
          <w:rFonts w:hint="eastAsia"/>
        </w:rPr>
        <w:t>K一—该种油品的周转系数,我国商业系统，一、二级油库K=1～3；三级及其以下的油</w:t>
      </w:r>
    </w:p>
    <w:p w14:paraId="41AC794B">
      <w:pPr>
        <w:bidi w:val="0"/>
        <w:rPr>
          <w:rFonts w:hint="eastAsia"/>
        </w:rPr>
      </w:pPr>
      <w:r>
        <w:rPr>
          <w:rFonts w:hint="eastAsia"/>
        </w:rPr>
        <w:t>库=4～8;有条件时,K 值最好通过调查分析决定；</w:t>
      </w:r>
    </w:p>
    <w:p w14:paraId="339495FC">
      <w:pPr>
        <w:bidi w:val="0"/>
        <w:rPr>
          <w:rFonts w:hint="eastAsia"/>
        </w:rPr>
      </w:pPr>
      <w:r>
        <w:rPr>
          <w:rFonts w:hint="eastAsia"/>
        </w:rPr>
        <w:t>p——该种油品的密度,Vm²;</w:t>
      </w:r>
    </w:p>
    <w:p w14:paraId="0715FD77">
      <w:pPr>
        <w:bidi w:val="0"/>
        <w:rPr>
          <w:rFonts w:hint="eastAsia"/>
        </w:rPr>
      </w:pPr>
      <w:r>
        <w:t>η</w:t>
      </w:r>
      <w:r>
        <w:rPr>
          <w:rFonts w:hint="eastAsia"/>
        </w:rPr>
        <w:t>—一油利用系数，一般轻油取=0.95;重油取=0.85;储存重质油的非金属罐取</w:t>
      </w:r>
    </w:p>
    <w:p w14:paraId="6C00785E">
      <w:pPr>
        <w:bidi w:val="0"/>
      </w:pPr>
      <w:r>
        <w:rPr>
          <w:rFonts w:hint="eastAsia"/>
        </w:rPr>
        <w:t>n =0.75</w:t>
      </w:r>
    </w:p>
    <w:p w14:paraId="08ED11D2">
      <w:pPr>
        <w:bidi w:val="0"/>
      </w:pPr>
      <w:r>
        <w:t>根据</w:t>
      </w:r>
      <w:r>
        <w:rPr>
          <w:rFonts w:hint="eastAsia"/>
          <w:lang w:val="en-US" w:eastAsia="zh-CN"/>
        </w:rPr>
        <w:t>油库储运毕业指导设计书</w:t>
      </w:r>
      <w:r>
        <w:t>轻油储罐的油罐利用系数一般取0.95，重油储罐取0.85，储存重质油的非金属储罐取0.75。92号汽油、95号汽油和0号柴油均按轻质油品考虑，因此三种油品的油罐利用系数均取0.95。汽油设计密度取0.75t/m³，0号柴油设计密度取0.84t/m³</w:t>
      </w:r>
      <w:r>
        <w:rPr>
          <w:rStyle w:val="6"/>
        </w:rPr>
        <w:footnoteReference w:id="0"/>
      </w:r>
      <w:r>
        <w:rPr>
          <w:rFonts w:hint="eastAsia"/>
          <w:lang w:eastAsia="zh-CN"/>
        </w:rPr>
        <w:t>，</w:t>
      </w:r>
      <w:r>
        <w:rPr>
          <w:rFonts w:hint="eastAsia"/>
          <w:lang w:val="en-US" w:eastAsia="zh-CN"/>
        </w:rPr>
        <w:t>K值拟定为3，若计算结果与之不符再进一步取值。</w:t>
      </w:r>
    </w:p>
    <w:p w14:paraId="6598BC79">
      <w:pPr>
        <w:bidi w:val="0"/>
      </w:pPr>
      <w:r>
        <w:t>（1）92号汽油储存容量</w:t>
      </w:r>
    </w:p>
    <w:p w14:paraId="7AFFF766">
      <w:pPr>
        <w:bidi w:val="0"/>
      </w:pPr>
      <w:r>
        <w:t>92号汽油年进库量和年出库量均为</w:t>
      </w:r>
      <w:r>
        <w:rPr>
          <w:rFonts w:hint="eastAsia"/>
          <w:lang w:val="en-US" w:eastAsia="zh-CN"/>
        </w:rPr>
        <w:t>12</w:t>
      </w:r>
      <w:r>
        <w:t>×10⁴t，其中管输出库量为</w:t>
      </w:r>
      <w:r>
        <w:rPr>
          <w:rFonts w:hint="eastAsia"/>
          <w:lang w:val="en-US" w:eastAsia="zh-CN"/>
        </w:rPr>
        <w:t>10.2</w:t>
      </w:r>
      <w:r>
        <w:t>×10⁴t，公路出库量为</w:t>
      </w:r>
      <w:r>
        <w:rPr>
          <w:rFonts w:hint="eastAsia"/>
          <w:lang w:val="en-US" w:eastAsia="zh-CN"/>
        </w:rPr>
        <w:t>1.8</w:t>
      </w:r>
      <w:r>
        <w:t>×10⁴t。</w:t>
      </w:r>
    </w:p>
    <w:p w14:paraId="727C337A">
      <w:pPr>
        <w:bidi w:val="0"/>
      </w:pPr>
      <w:r>
        <w:t>92号汽油所需公称储存容量为：</w:t>
      </w:r>
    </w:p>
    <w:p w14:paraId="287045D2">
      <w:pPr>
        <w:bidi w:val="0"/>
      </w:pPr>
      <m:oMathPara>
        <m:oMath>
          <m:sSub>
            <m:sSubPr/>
            <m:e>
              <m:r>
                <m:rPr>
                  <m:sty m:val="p"/>
                </m:rPr>
                <w:rPr>
                  <w:rFonts w:ascii="Times New Roman" w:hAnsi="Times New Roman"/>
                </w:rPr>
                <m:t>V</m:t>
              </m:r>
            </m:e>
            <m:sub>
              <m:r>
                <m:rPr>
                  <m:sty m:val="p"/>
                </m:rPr>
                <w:rPr>
                  <w:rFonts w:ascii="Times New Roman" w:hAnsi="Times New Roman"/>
                </w:rPr>
                <m:t>92</m:t>
              </m:r>
            </m:sub>
          </m:sSub>
          <m:r>
            <m:rPr>
              <m:sty m:val="p"/>
            </m:rPr>
            <w:rPr>
              <w:rFonts w:ascii="Times New Roman" w:hAnsi="Times New Roman"/>
            </w:rPr>
            <m:t>=</m:t>
          </m:r>
          <m:f>
            <m:fPr/>
            <m:num>
              <m:r>
                <m:rPr>
                  <m:sty m:val="p"/>
                </m:rPr>
                <w:rPr>
                  <w:rFonts w:hint="default" w:ascii="Times New Roman" w:hAnsi="Times New Roman"/>
                  <w:lang w:val="en-US" w:eastAsia="zh-CN"/>
                </w:rPr>
                <m:t>12</m:t>
              </m:r>
              <m:r>
                <m:rPr>
                  <m:sty m:val="p"/>
                </m:rPr>
                <w:rPr>
                  <w:rFonts w:ascii="Times New Roman" w:hAnsi="Times New Roman"/>
                </w:rPr>
                <m:t>0000</m:t>
              </m:r>
            </m:num>
            <m:den>
              <m:r>
                <m:rPr>
                  <m:sty m:val="p"/>
                </m:rPr>
                <w:rPr>
                  <w:rFonts w:hint="default"/>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56140</m:t>
          </m:r>
          <m:r>
            <m:rPr>
              <m:sty m:val="p"/>
            </m:rPr>
            <w:rPr>
              <w:rFonts w:ascii="Times New Roman" w:hAnsi="Times New Roman"/>
            </w:rPr>
            <m:t xml:space="preserve"> m³</m:t>
          </m:r>
        </m:oMath>
      </m:oMathPara>
    </w:p>
    <w:p w14:paraId="35176C0C">
      <w:pPr>
        <w:bidi w:val="0"/>
        <w:rPr>
          <w:rFonts w:ascii="Times New Roman" w:hAnsi="Times New Roman" w:eastAsia="Times New Roman" w:cs="Times New Roman"/>
          <w:sz w:val="24"/>
          <w:szCs w:val="24"/>
        </w:rPr>
      </w:pPr>
      <w:r>
        <w:rPr>
          <w:rFonts w:ascii="Times New Roman" w:hAnsi="Times New Roman" w:eastAsia="Times New Roman" w:cs="Times New Roman"/>
          <w:sz w:val="24"/>
          <w:szCs w:val="24"/>
        </w:rPr>
        <w:t>计算所需容量约为</w:t>
      </w:r>
      <w:r>
        <w:rPr>
          <w:rFonts w:hint="eastAsia" w:ascii="Times New Roman" w:hAnsi="Times New Roman" w:eastAsia="宋体" w:cs="Times New Roman"/>
          <w:sz w:val="24"/>
          <w:szCs w:val="24"/>
          <w:lang w:val="en-US" w:eastAsia="zh-CN"/>
        </w:rPr>
        <w:t>56140</w:t>
      </w:r>
      <w:r>
        <w:rPr>
          <w:rFonts w:ascii="Times New Roman" w:hAnsi="Times New Roman" w:eastAsia="Times New Roman" w:cs="Times New Roman"/>
          <w:sz w:val="24"/>
          <w:szCs w:val="24"/>
        </w:rPr>
        <w:t>m³。考虑单罐容量不超过10000 m³时储罐数量偏多，选用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m³内浮顶储罐，总公称容量为</w:t>
      </w:r>
      <w:r>
        <w:rPr>
          <w:rFonts w:hint="eastAsia" w:ascii="Times New Roman" w:hAnsi="Times New Roman" w:eastAsia="宋体" w:cs="Times New Roman"/>
          <w:sz w:val="24"/>
          <w:szCs w:val="24"/>
          <w:lang w:val="en-US" w:eastAsia="zh-CN"/>
        </w:rPr>
        <w:t>6</w:t>
      </w:r>
      <w:r>
        <w:rPr>
          <w:rFonts w:ascii="Times New Roman" w:hAnsi="Times New Roman" w:eastAsia="Times New Roman" w:cs="Times New Roman"/>
          <w:sz w:val="24"/>
          <w:szCs w:val="24"/>
        </w:rPr>
        <w:t>0000 m³，大于计算容量</w:t>
      </w:r>
      <w:r>
        <w:rPr>
          <w:rFonts w:hint="eastAsia" w:ascii="Times New Roman" w:hAnsi="Times New Roman" w:eastAsia="宋体" w:cs="Times New Roman"/>
          <w:sz w:val="24"/>
          <w:szCs w:val="24"/>
          <w:lang w:val="en-US" w:eastAsia="zh-CN"/>
        </w:rPr>
        <w:t>56140</w:t>
      </w:r>
      <w:r>
        <w:rPr>
          <w:rFonts w:ascii="Times New Roman" w:hAnsi="Times New Roman" w:eastAsia="Times New Roman" w:cs="Times New Roman"/>
          <w:sz w:val="24"/>
          <w:szCs w:val="24"/>
        </w:rPr>
        <w:t xml:space="preserve"> m³，满足储存和周转要求。</w:t>
      </w:r>
    </w:p>
    <w:p w14:paraId="7953C0C1">
      <w:pPr>
        <w:bidi w:val="0"/>
      </w:pPr>
      <w:r>
        <w:t>（2）95号汽油储存容量</w:t>
      </w:r>
    </w:p>
    <w:p w14:paraId="713268FD">
      <w:pPr>
        <w:bidi w:val="0"/>
      </w:pPr>
      <w:r>
        <w:t>95号汽油年进库量和年出库量均为</w:t>
      </w:r>
      <w:r>
        <w:rPr>
          <w:rFonts w:hint="eastAsia"/>
          <w:lang w:val="en-US" w:eastAsia="zh-CN"/>
        </w:rPr>
        <w:t>8</w:t>
      </w:r>
      <w:r>
        <w:t>×10⁴t，其中管输出库量为</w:t>
      </w:r>
      <w:r>
        <w:rPr>
          <w:rFonts w:hint="eastAsia"/>
          <w:lang w:val="en-US" w:eastAsia="zh-CN"/>
        </w:rPr>
        <w:t>7.2</w:t>
      </w:r>
      <w:r>
        <w:t>×10⁴t，公路出库量为</w:t>
      </w:r>
      <w:r>
        <w:rPr>
          <w:rFonts w:hint="eastAsia"/>
          <w:lang w:val="en-US" w:eastAsia="zh-CN"/>
        </w:rPr>
        <w:t>0.8</w:t>
      </w:r>
      <w:r>
        <w:t>×10⁴t。</w:t>
      </w:r>
    </w:p>
    <w:p w14:paraId="70B55E43">
      <w:pPr>
        <w:bidi w:val="0"/>
      </w:pPr>
      <w:r>
        <w:t>95号汽油所需公称储存容量为：</w:t>
      </w:r>
    </w:p>
    <w:p w14:paraId="6AF08EB5">
      <w:pPr>
        <w:bidi w:val="0"/>
      </w:pPr>
      <m:oMathPara>
        <m:oMath>
          <m:sSub>
            <m:sSubPr/>
            <m:e>
              <m:r>
                <m:rPr>
                  <m:sty m:val="p"/>
                </m:rPr>
                <w:rPr>
                  <w:rFonts w:ascii="Times New Roman" w:hAnsi="Times New Roman"/>
                </w:rPr>
                <m:t>V</m:t>
              </m:r>
            </m:e>
            <m:sub>
              <m:r>
                <m:rPr>
                  <m:sty m:val="p"/>
                </m:rPr>
                <w:rPr>
                  <w:rFonts w:ascii="Times New Roman" w:hAnsi="Times New Roman"/>
                </w:rPr>
                <m:t>95</m:t>
              </m:r>
            </m:sub>
          </m:sSub>
          <m:r>
            <m:rPr>
              <m:sty m:val="p"/>
            </m:rPr>
            <w:rPr>
              <w:rFonts w:ascii="Times New Roman" w:hAnsi="Times New Roman"/>
            </w:rPr>
            <m:t>=</m:t>
          </m:r>
          <m:f>
            <m:fPr/>
            <m:num>
              <m:r>
                <m:rPr>
                  <m:sty m:val="p"/>
                </m:rPr>
                <w:rPr>
                  <w:rFonts w:hint="default" w:ascii="Times New Roman" w:hAnsi="Times New Roman"/>
                  <w:lang w:val="en-US" w:eastAsia="zh-CN"/>
                </w:rPr>
                <m:t>8</m:t>
              </m:r>
              <m:r>
                <m:rPr>
                  <m:sty m:val="p"/>
                </m:rPr>
                <w:rPr>
                  <w:rFonts w:ascii="Times New Roman" w:hAnsi="Times New Roman"/>
                </w:rPr>
                <m:t>0000</m:t>
              </m:r>
            </m:num>
            <m:den>
              <m:r>
                <m:rPr>
                  <m:sty m:val="p"/>
                </m:rPr>
                <w:rPr>
                  <w:rFonts w:hint="default" w:ascii="Times New Roman" w:hAnsi="Times New Roman"/>
                  <w:lang w:val="en-US" w:eastAsia="zh-CN"/>
                </w:rPr>
                <m:t>3</m:t>
              </m:r>
              <m:r>
                <m:rPr>
                  <m:sty m:val="p"/>
                </m:rPr>
                <w:rPr>
                  <w:rFonts w:ascii="Times New Roman" w:hAnsi="Times New Roman"/>
                </w:rPr>
                <m:t>×0.75×0.95</m:t>
              </m:r>
            </m:den>
          </m:f>
          <m:r>
            <m:rPr>
              <m:sty m:val="p"/>
            </m:rPr>
            <w:rPr>
              <w:rFonts w:ascii="Times New Roman" w:hAnsi="Times New Roman"/>
            </w:rPr>
            <m:t>=</m:t>
          </m:r>
          <m:r>
            <m:rPr>
              <m:sty m:val="p"/>
            </m:rPr>
            <w:rPr>
              <w:rFonts w:hint="default" w:ascii="Times New Roman" w:hAnsi="Times New Roman"/>
              <w:lang w:val="en-US" w:eastAsia="zh-CN"/>
            </w:rPr>
            <m:t>37426</m:t>
          </m:r>
          <m:r>
            <m:rPr>
              <m:sty m:val="p"/>
            </m:rPr>
            <w:rPr>
              <w:rFonts w:ascii="Times New Roman" w:hAnsi="Times New Roman"/>
            </w:rPr>
            <m:t xml:space="preserve"> m³</m:t>
          </m:r>
        </m:oMath>
      </m:oMathPara>
    </w:p>
    <w:p w14:paraId="2B8609F4">
      <w:pPr>
        <w:bidi w:val="0"/>
      </w:pPr>
      <w:r>
        <w:t>计算所需容量约为</w:t>
      </w:r>
      <w:r>
        <w:rPr>
          <w:rFonts w:hint="eastAsia"/>
          <w:lang w:val="en-US" w:eastAsia="zh-CN"/>
        </w:rPr>
        <w:t>37426</w:t>
      </w:r>
      <w:r>
        <w:t>m³。</w:t>
      </w:r>
      <w:r>
        <w:rPr>
          <w:rFonts w:ascii="Times New Roman" w:hAnsi="Times New Roman" w:eastAsia="Times New Roman" w:cs="Times New Roman"/>
          <w:sz w:val="24"/>
          <w:szCs w:val="24"/>
        </w:rPr>
        <w:t>考虑单罐容量不超过10000 m³时储罐数量偏多</w:t>
      </w:r>
      <w:r>
        <w:rPr>
          <w:rFonts w:hint="eastAsia" w:ascii="Times New Roman" w:hAnsi="Times New Roman" w:eastAsia="宋体" w:cs="Times New Roman"/>
          <w:sz w:val="24"/>
          <w:szCs w:val="24"/>
          <w:lang w:eastAsia="zh-CN"/>
        </w:rPr>
        <w:t>，</w:t>
      </w:r>
      <w:r>
        <w:t>选用</w:t>
      </w:r>
      <w:r>
        <w:rPr>
          <w:rFonts w:hint="eastAsia"/>
          <w:lang w:val="en-US" w:eastAsia="zh-CN"/>
        </w:rPr>
        <w:t>1</w:t>
      </w:r>
      <w:r>
        <w:t>座</w:t>
      </w:r>
      <w:r>
        <w:rPr>
          <w:rFonts w:hint="eastAsia"/>
          <w:lang w:val="en-US" w:eastAsia="zh-CN"/>
        </w:rPr>
        <w:t>3</w:t>
      </w:r>
      <w:r>
        <w:t>0000m³内浮顶储罐</w:t>
      </w:r>
      <w:r>
        <w:rPr>
          <w:rFonts w:hint="eastAsia"/>
          <w:lang w:val="en-US" w:eastAsia="zh-CN"/>
        </w:rPr>
        <w:t>和1座10000</w:t>
      </w:r>
      <w:r>
        <w:t>m³内浮顶储罐，总公称容量为</w:t>
      </w:r>
      <w:r>
        <w:rPr>
          <w:rFonts w:hint="eastAsia"/>
          <w:lang w:val="en-US" w:eastAsia="zh-CN"/>
        </w:rPr>
        <w:t>4</w:t>
      </w:r>
      <w:r>
        <w:t>0000 m³，大于计算容量</w:t>
      </w:r>
      <w:r>
        <w:rPr>
          <w:rFonts w:hint="eastAsia"/>
          <w:lang w:val="en-US" w:eastAsia="zh-CN"/>
        </w:rPr>
        <w:t>37426</w:t>
      </w:r>
      <w:r>
        <w:t>m³，满足储存和周转要求。</w:t>
      </w:r>
    </w:p>
    <w:p w14:paraId="6BC1D840">
      <w:pPr>
        <w:bidi w:val="0"/>
      </w:pPr>
      <w:r>
        <w:t>（3）0号柴油储存容量</w:t>
      </w:r>
    </w:p>
    <w:p w14:paraId="670EFE05">
      <w:pPr>
        <w:bidi w:val="0"/>
      </w:pPr>
      <w:r>
        <w:t>0号柴油年进库量和年出库量均为</w:t>
      </w:r>
      <w:r>
        <w:rPr>
          <w:rFonts w:hint="eastAsia"/>
          <w:lang w:val="en-US" w:eastAsia="zh-CN"/>
        </w:rPr>
        <w:t>10</w:t>
      </w:r>
      <w:r>
        <w:t>×10⁴t，其中管输出库量为</w:t>
      </w:r>
      <w:r>
        <w:rPr>
          <w:rFonts w:hint="eastAsia"/>
          <w:lang w:val="en-US" w:eastAsia="zh-CN"/>
        </w:rPr>
        <w:t>9</w:t>
      </w:r>
      <w:r>
        <w:t>×10⁴t，公路出库量为</w:t>
      </w:r>
      <w:r>
        <w:rPr>
          <w:rFonts w:hint="eastAsia"/>
          <w:lang w:val="en-US" w:eastAsia="zh-CN"/>
        </w:rPr>
        <w:t>1</w:t>
      </w:r>
      <w:r>
        <w:t>×10⁴t。</w:t>
      </w:r>
    </w:p>
    <w:p w14:paraId="1B7BE902">
      <w:pPr>
        <w:bidi w:val="0"/>
      </w:pPr>
      <w:r>
        <w:t>0号柴油所需公称储存容量为：</w:t>
      </w:r>
    </w:p>
    <w:p w14:paraId="078D4AED">
      <w:pPr>
        <w:bidi w:val="0"/>
      </w:pPr>
      <m:oMathPara>
        <m:oMath>
          <m:sSub>
            <m:sSubPr/>
            <m:e>
              <m:r>
                <m:rPr>
                  <m:sty m:val="p"/>
                </m:rPr>
                <w:rPr>
                  <w:rFonts w:ascii="Times New Roman" w:hAnsi="Times New Roman"/>
                </w:rPr>
                <m:t>V</m:t>
              </m:r>
            </m:e>
            <m:sub>
              <m:r>
                <m:rPr>
                  <m:sty m:val="p"/>
                </m:rPr>
                <w:rPr>
                  <w:rFonts w:ascii="Times New Roman" w:hAnsi="Times New Roman"/>
                </w:rPr>
                <m:t>0</m:t>
              </m:r>
            </m:sub>
          </m:sSub>
          <m:r>
            <m:rPr>
              <m:sty m:val="p"/>
            </m:rPr>
            <w:rPr>
              <w:rFonts w:ascii="Times New Roman" w:hAnsi="Times New Roman"/>
            </w:rPr>
            <m:t>=</m:t>
          </m:r>
          <m:f>
            <m:fPr/>
            <m:num>
              <m:r>
                <m:rPr>
                  <m:sty m:val="p"/>
                </m:rPr>
                <w:rPr>
                  <w:rFonts w:hint="default" w:ascii="Times New Roman" w:hAnsi="Times New Roman"/>
                  <w:lang w:val="en-US" w:eastAsia="zh-CN"/>
                </w:rPr>
                <m:t>10</m:t>
              </m:r>
              <m:r>
                <m:rPr>
                  <m:sty m:val="p"/>
                </m:rPr>
                <w:rPr>
                  <w:rFonts w:ascii="Times New Roman" w:hAnsi="Times New Roman"/>
                </w:rPr>
                <m:t>0000</m:t>
              </m:r>
            </m:num>
            <m:den>
              <m:r>
                <m:rPr>
                  <m:sty m:val="p"/>
                </m:rPr>
                <w:rPr>
                  <w:rFonts w:hint="default" w:ascii="Times New Roman" w:hAnsi="Times New Roman"/>
                  <w:lang w:val="en-US" w:eastAsia="zh-CN"/>
                </w:rPr>
                <m:t>3</m:t>
              </m:r>
              <m:r>
                <m:rPr>
                  <m:sty m:val="p"/>
                </m:rPr>
                <w:rPr>
                  <w:rFonts w:ascii="Times New Roman" w:hAnsi="Times New Roman"/>
                </w:rPr>
                <m:t>×0.84×0.95</m:t>
              </m:r>
            </m:den>
          </m:f>
          <m:r>
            <m:rPr>
              <m:sty m:val="p"/>
            </m:rPr>
            <w:rPr>
              <w:rFonts w:ascii="Times New Roman" w:hAnsi="Times New Roman"/>
            </w:rPr>
            <m:t>=</m:t>
          </m:r>
          <m:r>
            <m:rPr>
              <m:sty m:val="p"/>
            </m:rPr>
            <w:rPr>
              <w:rFonts w:hint="default" w:ascii="Times New Roman" w:hAnsi="Times New Roman"/>
              <w:lang w:val="en-US" w:eastAsia="zh-CN"/>
            </w:rPr>
            <m:t>41771</m:t>
          </m:r>
          <m:r>
            <m:rPr>
              <m:sty m:val="p"/>
            </m:rPr>
            <w:rPr>
              <w:rFonts w:ascii="Times New Roman" w:hAnsi="Times New Roman"/>
            </w:rPr>
            <m:t>m³</m:t>
          </m:r>
        </m:oMath>
      </m:oMathPara>
    </w:p>
    <w:p w14:paraId="354F5982">
      <w:pPr>
        <w:spacing w:before="60" w:after="60" w:line="360" w:lineRule="auto"/>
        <w:ind w:firstLine="480"/>
      </w:pPr>
      <w:r>
        <w:rPr>
          <w:rFonts w:ascii="Times New Roman" w:hAnsi="Times New Roman" w:eastAsia="Times New Roman" w:cs="Times New Roman"/>
          <w:sz w:val="24"/>
          <w:szCs w:val="24"/>
        </w:rPr>
        <w:t>计算所需容量约为</w:t>
      </w:r>
      <w:r>
        <w:rPr>
          <w:rFonts w:hint="eastAsia" w:ascii="Times New Roman" w:hAnsi="Times New Roman" w:eastAsia="宋体" w:cs="Times New Roman"/>
          <w:sz w:val="24"/>
          <w:szCs w:val="24"/>
          <w:lang w:val="en-US" w:eastAsia="zh-CN"/>
        </w:rPr>
        <w:t>41771</w:t>
      </w:r>
      <w:r>
        <w:rPr>
          <w:rFonts w:ascii="Times New Roman" w:hAnsi="Times New Roman" w:eastAsia="Times New Roman" w:cs="Times New Roman"/>
          <w:sz w:val="24"/>
          <w:szCs w:val="24"/>
        </w:rPr>
        <w:t xml:space="preserve"> m³。选用</w:t>
      </w:r>
      <w:r>
        <w:rPr>
          <w:rFonts w:hint="eastAsia" w:ascii="Times New Roman" w:hAnsi="Times New Roman" w:eastAsia="宋体" w:cs="Times New Roman"/>
          <w:sz w:val="24"/>
          <w:szCs w:val="24"/>
          <w:lang w:val="en-US" w:eastAsia="zh-CN"/>
        </w:rPr>
        <w:t>2</w:t>
      </w:r>
      <w:r>
        <w:rPr>
          <w:rFonts w:ascii="Times New Roman" w:hAnsi="Times New Roman" w:eastAsia="Times New Roman" w:cs="Times New Roman"/>
          <w:sz w:val="24"/>
          <w:szCs w:val="24"/>
        </w:rPr>
        <w:t>座</w:t>
      </w:r>
      <w:r>
        <w:rPr>
          <w:rFonts w:hint="eastAsia" w:ascii="Times New Roman" w:hAnsi="Times New Roman" w:eastAsia="宋体" w:cs="Times New Roman"/>
          <w:sz w:val="24"/>
          <w:szCs w:val="24"/>
          <w:lang w:val="en-US" w:eastAsia="zh-CN"/>
        </w:rPr>
        <w:t>3</w:t>
      </w:r>
      <w:r>
        <w:rPr>
          <w:rFonts w:ascii="Times New Roman" w:hAnsi="Times New Roman" w:eastAsia="Times New Roman" w:cs="Times New Roman"/>
          <w:sz w:val="24"/>
          <w:szCs w:val="24"/>
        </w:rPr>
        <w:t>0000 m³固定顶储罐总公称容量为</w:t>
      </w:r>
      <w:r>
        <w:rPr>
          <w:rFonts w:hint="eastAsia" w:ascii="Times New Roman" w:hAnsi="Times New Roman" w:eastAsia="宋体" w:cs="Times New Roman"/>
          <w:sz w:val="24"/>
          <w:szCs w:val="24"/>
          <w:lang w:val="en-US" w:eastAsia="zh-CN"/>
        </w:rPr>
        <w:t>60000</w:t>
      </w:r>
      <w:r>
        <w:rPr>
          <w:rFonts w:ascii="Times New Roman" w:hAnsi="Times New Roman" w:eastAsia="Times New Roman" w:cs="Times New Roman"/>
          <w:sz w:val="24"/>
          <w:szCs w:val="24"/>
        </w:rPr>
        <w:t xml:space="preserve"> m³，大于计算容量</w:t>
      </w:r>
      <w:r>
        <w:rPr>
          <w:rFonts w:hint="eastAsia" w:ascii="Times New Roman" w:hAnsi="Times New Roman" w:eastAsia="宋体" w:cs="Times New Roman"/>
          <w:sz w:val="24"/>
          <w:szCs w:val="24"/>
          <w:lang w:val="en-US" w:eastAsia="zh-CN"/>
        </w:rPr>
        <w:t>41771</w:t>
      </w:r>
      <w:r>
        <w:rPr>
          <w:rFonts w:ascii="Times New Roman" w:hAnsi="Times New Roman" w:eastAsia="Times New Roman" w:cs="Times New Roman"/>
          <w:sz w:val="24"/>
          <w:szCs w:val="24"/>
        </w:rPr>
        <w:t>m³，满足储存和周转要求。</w:t>
      </w:r>
    </w:p>
    <w:p w14:paraId="6919C0A9">
      <w:pPr>
        <w:bidi w:val="0"/>
      </w:pPr>
      <w:r>
        <w:t>各油品储罐容量计算及选型结果见表3-3。</w:t>
      </w:r>
    </w:p>
    <w:p w14:paraId="7F7E9BAD">
      <w:pPr>
        <w:pStyle w:val="9"/>
        <w:bidi w:val="0"/>
      </w:pPr>
      <w:r>
        <w:t>表3-3  储罐容量计算及选型结果</w:t>
      </w:r>
    </w:p>
    <w:tbl>
      <w:tblPr>
        <w:tblStyle w:val="3"/>
        <w:tblpPr w:leftFromText="180" w:rightFromText="180" w:vertAnchor="text" w:horzAnchor="page" w:tblpX="1815" w:tblpY="318"/>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88"/>
        <w:gridCol w:w="1058"/>
        <w:gridCol w:w="933"/>
        <w:gridCol w:w="1138"/>
        <w:gridCol w:w="851"/>
        <w:gridCol w:w="1241"/>
        <w:gridCol w:w="933"/>
        <w:gridCol w:w="1339"/>
        <w:gridCol w:w="957"/>
      </w:tblGrid>
      <w:tr w14:paraId="4B7F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88" w:type="dxa"/>
            <w:vAlign w:val="top"/>
          </w:tcPr>
          <w:p w14:paraId="7618C79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油品</w:t>
            </w:r>
          </w:p>
        </w:tc>
        <w:tc>
          <w:tcPr>
            <w:tcW w:w="1058" w:type="dxa"/>
            <w:vAlign w:val="top"/>
          </w:tcPr>
          <w:p w14:paraId="55925B2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年周转量/(×10⁴t)</w:t>
            </w:r>
          </w:p>
        </w:tc>
        <w:tc>
          <w:tcPr>
            <w:tcW w:w="933" w:type="dxa"/>
            <w:vAlign w:val="top"/>
          </w:tcPr>
          <w:p w14:paraId="7FA8464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K/a⁻¹</w:t>
            </w:r>
          </w:p>
        </w:tc>
        <w:tc>
          <w:tcPr>
            <w:tcW w:w="1138" w:type="dxa"/>
            <w:vAlign w:val="top"/>
          </w:tcPr>
          <w:p w14:paraId="51BC316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设计密度/(t/m³)</w:t>
            </w:r>
          </w:p>
        </w:tc>
        <w:tc>
          <w:tcPr>
            <w:tcW w:w="851" w:type="dxa"/>
            <w:vAlign w:val="top"/>
          </w:tcPr>
          <w:p w14:paraId="2CE319E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η</w:t>
            </w:r>
          </w:p>
        </w:tc>
        <w:tc>
          <w:tcPr>
            <w:tcW w:w="1241" w:type="dxa"/>
            <w:vAlign w:val="top"/>
          </w:tcPr>
          <w:p w14:paraId="1F2D191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计算容量/m³</w:t>
            </w:r>
          </w:p>
        </w:tc>
        <w:tc>
          <w:tcPr>
            <w:tcW w:w="933" w:type="dxa"/>
            <w:vAlign w:val="top"/>
          </w:tcPr>
          <w:p w14:paraId="7C696BF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储罐形式</w:t>
            </w:r>
          </w:p>
        </w:tc>
        <w:tc>
          <w:tcPr>
            <w:tcW w:w="1339" w:type="dxa"/>
            <w:vAlign w:val="top"/>
          </w:tcPr>
          <w:p w14:paraId="5DC4D4E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储罐配置</w:t>
            </w:r>
          </w:p>
        </w:tc>
        <w:tc>
          <w:tcPr>
            <w:tcW w:w="957" w:type="dxa"/>
            <w:vAlign w:val="top"/>
          </w:tcPr>
          <w:p w14:paraId="13B9298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总公称容量/m³</w:t>
            </w:r>
          </w:p>
        </w:tc>
      </w:tr>
      <w:tr w14:paraId="5341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6B2E0F1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92号汽油</w:t>
            </w:r>
          </w:p>
        </w:tc>
        <w:tc>
          <w:tcPr>
            <w:tcW w:w="1058" w:type="dxa"/>
            <w:vAlign w:val="top"/>
          </w:tcPr>
          <w:p w14:paraId="36EFF93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12</w:t>
            </w:r>
          </w:p>
        </w:tc>
        <w:tc>
          <w:tcPr>
            <w:tcW w:w="933" w:type="dxa"/>
            <w:vAlign w:val="top"/>
          </w:tcPr>
          <w:p w14:paraId="35616A8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DCC3DF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31430F7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00AE047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56140</w:t>
            </w:r>
          </w:p>
        </w:tc>
        <w:tc>
          <w:tcPr>
            <w:tcW w:w="933" w:type="dxa"/>
            <w:vAlign w:val="top"/>
          </w:tcPr>
          <w:p w14:paraId="1E9EE5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08B05E5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30000</w:t>
            </w:r>
            <w:r>
              <w:rPr>
                <w:rFonts w:hint="eastAsia" w:ascii="Times New Roman" w:hAnsi="Times New Roman" w:eastAsia="宋体"/>
                <w:b w:val="0"/>
                <w:kern w:val="0"/>
                <w:sz w:val="16"/>
                <w:szCs w:val="22"/>
                <w:lang w:val="en-US" w:eastAsia="zh-CN"/>
              </w:rPr>
              <w:t>m³</w:t>
            </w:r>
          </w:p>
        </w:tc>
        <w:tc>
          <w:tcPr>
            <w:tcW w:w="957" w:type="dxa"/>
            <w:vAlign w:val="top"/>
          </w:tcPr>
          <w:p w14:paraId="24F9B57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w:t>
            </w:r>
            <w:r>
              <w:rPr>
                <w:rFonts w:hint="eastAsia" w:ascii="Times New Roman" w:hAnsi="Times New Roman" w:eastAsia="宋体"/>
                <w:b w:val="0"/>
                <w:kern w:val="0"/>
                <w:sz w:val="16"/>
                <w:szCs w:val="22"/>
                <w:lang w:val="en-US" w:eastAsia="zh-CN"/>
              </w:rPr>
              <w:t>0000</w:t>
            </w:r>
          </w:p>
        </w:tc>
      </w:tr>
      <w:tr w14:paraId="2C64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42FBA94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95号汽油</w:t>
            </w:r>
          </w:p>
        </w:tc>
        <w:tc>
          <w:tcPr>
            <w:tcW w:w="1058" w:type="dxa"/>
            <w:vAlign w:val="top"/>
          </w:tcPr>
          <w:p w14:paraId="17D4EDA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8</w:t>
            </w:r>
          </w:p>
        </w:tc>
        <w:tc>
          <w:tcPr>
            <w:tcW w:w="933" w:type="dxa"/>
            <w:vAlign w:val="top"/>
          </w:tcPr>
          <w:p w14:paraId="615BB68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26D3814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0.75</w:t>
            </w:r>
          </w:p>
        </w:tc>
        <w:tc>
          <w:tcPr>
            <w:tcW w:w="851" w:type="dxa"/>
            <w:vAlign w:val="top"/>
          </w:tcPr>
          <w:p w14:paraId="6F3DBA6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125D331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37426</w:t>
            </w:r>
          </w:p>
        </w:tc>
        <w:tc>
          <w:tcPr>
            <w:tcW w:w="933" w:type="dxa"/>
            <w:vAlign w:val="top"/>
          </w:tcPr>
          <w:p w14:paraId="61C1CA9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内浮顶储罐</w:t>
            </w:r>
          </w:p>
        </w:tc>
        <w:tc>
          <w:tcPr>
            <w:tcW w:w="1339" w:type="dxa"/>
            <w:vAlign w:val="top"/>
          </w:tcPr>
          <w:p w14:paraId="3A9BC70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1</w:t>
            </w:r>
            <w:r>
              <w:rPr>
                <w:rFonts w:hint="eastAsia" w:ascii="Times New Roman" w:hAnsi="Times New Roman" w:eastAsia="宋体"/>
                <w:b w:val="0"/>
                <w:kern w:val="0"/>
                <w:sz w:val="16"/>
                <w:szCs w:val="22"/>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rPr>
              <w:t>0000 m³</w:t>
            </w:r>
            <w:r>
              <w:rPr>
                <w:rFonts w:hint="eastAsia" w:ascii="Times New Roman" w:hAnsi="Times New Roman" w:eastAsia="宋体"/>
                <w:b w:val="0"/>
                <w:kern w:val="0"/>
                <w:sz w:val="16"/>
                <w:szCs w:val="22"/>
                <w:lang w:val="en-US" w:eastAsia="zh-CN"/>
              </w:rPr>
              <w:t>和</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座</w:t>
            </w:r>
            <w:r>
              <w:rPr>
                <w:rFonts w:hint="eastAsia" w:ascii="Times New Roman" w:hAnsi="Times New Roman" w:eastAsia="宋体"/>
                <w:b w:val="0"/>
                <w:kern w:val="0"/>
                <w:sz w:val="16"/>
                <w:szCs w:val="22"/>
              </w:rPr>
              <w:t>×</w:t>
            </w:r>
            <w:r>
              <w:rPr>
                <w:rFonts w:hint="eastAsia" w:ascii="Times New Roman" w:hAnsi="Times New Roman"/>
                <w:b w:val="0"/>
                <w:kern w:val="0"/>
                <w:sz w:val="16"/>
                <w:szCs w:val="22"/>
                <w:lang w:val="en-US" w:eastAsia="zh-CN"/>
              </w:rPr>
              <w:t>1</w:t>
            </w:r>
            <w:r>
              <w:rPr>
                <w:rFonts w:hint="eastAsia" w:ascii="Times New Roman" w:hAnsi="Times New Roman" w:eastAsia="宋体"/>
                <w:b w:val="0"/>
                <w:kern w:val="0"/>
                <w:sz w:val="16"/>
                <w:szCs w:val="22"/>
                <w:lang w:val="en-US" w:eastAsia="zh-CN"/>
              </w:rPr>
              <w:t>0000</w:t>
            </w:r>
            <w:r>
              <w:rPr>
                <w:rFonts w:hint="eastAsia" w:ascii="Times New Roman" w:hAnsi="Times New Roman" w:eastAsia="宋体"/>
                <w:b w:val="0"/>
                <w:kern w:val="0"/>
                <w:sz w:val="16"/>
                <w:szCs w:val="22"/>
              </w:rPr>
              <w:t>m³</w:t>
            </w:r>
          </w:p>
        </w:tc>
        <w:tc>
          <w:tcPr>
            <w:tcW w:w="957" w:type="dxa"/>
            <w:vAlign w:val="top"/>
          </w:tcPr>
          <w:p w14:paraId="6DB6FC6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4</w:t>
            </w:r>
            <w:r>
              <w:rPr>
                <w:rFonts w:hint="eastAsia" w:ascii="Times New Roman" w:hAnsi="Times New Roman" w:eastAsia="宋体"/>
                <w:b w:val="0"/>
                <w:kern w:val="0"/>
                <w:sz w:val="16"/>
                <w:szCs w:val="22"/>
                <w:lang w:val="en-US" w:eastAsia="zh-CN"/>
              </w:rPr>
              <w:t>0000</w:t>
            </w:r>
          </w:p>
        </w:tc>
      </w:tr>
      <w:tr w14:paraId="4FBF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5A432DE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0号柴油</w:t>
            </w:r>
          </w:p>
        </w:tc>
        <w:tc>
          <w:tcPr>
            <w:tcW w:w="1058" w:type="dxa"/>
            <w:vAlign w:val="top"/>
          </w:tcPr>
          <w:p w14:paraId="31290E2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10</w:t>
            </w:r>
          </w:p>
        </w:tc>
        <w:tc>
          <w:tcPr>
            <w:tcW w:w="933" w:type="dxa"/>
            <w:vAlign w:val="top"/>
          </w:tcPr>
          <w:p w14:paraId="32EE8FF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3</w:t>
            </w:r>
          </w:p>
        </w:tc>
        <w:tc>
          <w:tcPr>
            <w:tcW w:w="1138" w:type="dxa"/>
            <w:vAlign w:val="top"/>
          </w:tcPr>
          <w:p w14:paraId="155552D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0.84</w:t>
            </w:r>
          </w:p>
        </w:tc>
        <w:tc>
          <w:tcPr>
            <w:tcW w:w="851" w:type="dxa"/>
            <w:vAlign w:val="top"/>
          </w:tcPr>
          <w:p w14:paraId="1106F5D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0.95</w:t>
            </w:r>
          </w:p>
        </w:tc>
        <w:tc>
          <w:tcPr>
            <w:tcW w:w="1241" w:type="dxa"/>
            <w:vAlign w:val="top"/>
          </w:tcPr>
          <w:p w14:paraId="31DAB041">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41771</w:t>
            </w:r>
          </w:p>
        </w:tc>
        <w:tc>
          <w:tcPr>
            <w:tcW w:w="933" w:type="dxa"/>
            <w:vAlign w:val="top"/>
          </w:tcPr>
          <w:p w14:paraId="1E6CBE1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固定顶储罐</w:t>
            </w:r>
          </w:p>
        </w:tc>
        <w:tc>
          <w:tcPr>
            <w:tcW w:w="1339" w:type="dxa"/>
            <w:vAlign w:val="top"/>
          </w:tcPr>
          <w:p w14:paraId="03BA8BB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2</w:t>
            </w:r>
            <w:r>
              <w:rPr>
                <w:rFonts w:hint="eastAsia" w:ascii="Times New Roman" w:hAnsi="Times New Roman" w:eastAsia="宋体"/>
                <w:b w:val="0"/>
                <w:kern w:val="0"/>
                <w:sz w:val="16"/>
                <w:szCs w:val="22"/>
                <w:lang w:val="en-US" w:eastAsia="zh-CN"/>
              </w:rPr>
              <w:t>座×</w:t>
            </w:r>
            <w:r>
              <w:rPr>
                <w:rFonts w:hint="eastAsia" w:ascii="Times New Roman" w:hAnsi="Times New Roman"/>
                <w:b w:val="0"/>
                <w:kern w:val="0"/>
                <w:sz w:val="16"/>
                <w:szCs w:val="22"/>
                <w:lang w:val="en-US" w:eastAsia="zh-CN"/>
              </w:rPr>
              <w:t>3</w:t>
            </w:r>
            <w:r>
              <w:rPr>
                <w:rFonts w:hint="eastAsia" w:ascii="Times New Roman" w:hAnsi="Times New Roman" w:eastAsia="宋体"/>
                <w:b w:val="0"/>
                <w:kern w:val="0"/>
                <w:sz w:val="16"/>
                <w:szCs w:val="22"/>
                <w:lang w:val="en-US" w:eastAsia="zh-CN"/>
              </w:rPr>
              <w:t>0000 m³</w:t>
            </w:r>
          </w:p>
        </w:tc>
        <w:tc>
          <w:tcPr>
            <w:tcW w:w="957" w:type="dxa"/>
            <w:vAlign w:val="top"/>
          </w:tcPr>
          <w:p w14:paraId="07FCEED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60000</w:t>
            </w:r>
          </w:p>
        </w:tc>
      </w:tr>
      <w:tr w14:paraId="1FD1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8" w:type="dxa"/>
            <w:vAlign w:val="top"/>
          </w:tcPr>
          <w:p w14:paraId="7B09F37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合计</w:t>
            </w:r>
          </w:p>
        </w:tc>
        <w:tc>
          <w:tcPr>
            <w:tcW w:w="1058" w:type="dxa"/>
            <w:vAlign w:val="top"/>
          </w:tcPr>
          <w:p w14:paraId="62A1773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30</w:t>
            </w:r>
          </w:p>
        </w:tc>
        <w:tc>
          <w:tcPr>
            <w:tcW w:w="933" w:type="dxa"/>
            <w:vAlign w:val="top"/>
          </w:tcPr>
          <w:p w14:paraId="30B692CC">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138" w:type="dxa"/>
            <w:vAlign w:val="top"/>
          </w:tcPr>
          <w:p w14:paraId="0395BD23">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851" w:type="dxa"/>
            <w:vAlign w:val="top"/>
          </w:tcPr>
          <w:p w14:paraId="571A112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241" w:type="dxa"/>
            <w:vAlign w:val="top"/>
          </w:tcPr>
          <w:p w14:paraId="16ABB9B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135337</w:t>
            </w:r>
          </w:p>
        </w:tc>
        <w:tc>
          <w:tcPr>
            <w:tcW w:w="933" w:type="dxa"/>
            <w:vAlign w:val="top"/>
          </w:tcPr>
          <w:p w14:paraId="78A598C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eastAsia="宋体"/>
                <w:b w:val="0"/>
                <w:kern w:val="0"/>
                <w:sz w:val="16"/>
                <w:szCs w:val="22"/>
                <w:lang w:val="en-US" w:eastAsia="zh-CN"/>
              </w:rPr>
              <w:t>—</w:t>
            </w:r>
          </w:p>
        </w:tc>
        <w:tc>
          <w:tcPr>
            <w:tcW w:w="1339" w:type="dxa"/>
            <w:vAlign w:val="top"/>
          </w:tcPr>
          <w:p w14:paraId="771FB960">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6</w:t>
            </w:r>
            <w:r>
              <w:rPr>
                <w:rFonts w:hint="eastAsia" w:ascii="Times New Roman" w:hAnsi="Times New Roman" w:eastAsia="宋体"/>
                <w:b w:val="0"/>
                <w:kern w:val="0"/>
                <w:sz w:val="16"/>
                <w:szCs w:val="22"/>
                <w:lang w:val="en-US" w:eastAsia="zh-CN"/>
              </w:rPr>
              <w:t>座</w:t>
            </w:r>
          </w:p>
        </w:tc>
        <w:tc>
          <w:tcPr>
            <w:tcW w:w="957" w:type="dxa"/>
            <w:vAlign w:val="top"/>
          </w:tcPr>
          <w:p w14:paraId="69F1DF6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b w:val="0"/>
                <w:kern w:val="0"/>
                <w:sz w:val="16"/>
                <w:szCs w:val="22"/>
                <w:lang w:val="en-US" w:eastAsia="zh-CN"/>
              </w:rPr>
            </w:pPr>
            <w:r>
              <w:rPr>
                <w:rFonts w:hint="eastAsia" w:ascii="Times New Roman" w:hAnsi="Times New Roman"/>
                <w:b w:val="0"/>
                <w:kern w:val="0"/>
                <w:sz w:val="16"/>
                <w:szCs w:val="22"/>
                <w:lang w:val="en-US" w:eastAsia="zh-CN"/>
              </w:rPr>
              <w:t>160000</w:t>
            </w:r>
          </w:p>
        </w:tc>
      </w:tr>
    </w:tbl>
    <w:p w14:paraId="0EFFB70D">
      <w:pPr>
        <w:spacing w:before="60" w:after="60" w:line="360" w:lineRule="auto"/>
        <w:ind w:firstLine="480"/>
      </w:pPr>
      <w:r>
        <w:rPr>
          <w:rFonts w:hint="eastAsia" w:ascii="Times New Roman" w:hAnsi="Times New Roman" w:eastAsia="Times New Roman" w:cs="Times New Roman"/>
          <w:sz w:val="24"/>
          <w:szCs w:val="24"/>
        </w:rPr>
        <w:t>本油库共设置6座地上立式储罐：92号汽油内浮顶罐2座(60000 m³)，95号汽油内浮顶罐2座(40000 m³)，0号柴油固定顶罐2座(60000 m³)，总计160000 m³</w:t>
      </w:r>
      <w:r>
        <w:rPr>
          <w:rFonts w:hint="eastAsia" w:ascii="Times New Roman" w:hAnsi="Times New Roman" w:eastAsia="宋体" w:cs="Times New Roman"/>
          <w:sz w:val="24"/>
          <w:szCs w:val="24"/>
          <w:lang w:eastAsia="zh-CN"/>
        </w:rPr>
        <w:t>，</w:t>
      </w:r>
      <w:r>
        <w:rPr>
          <w:rFonts w:ascii="Times New Roman" w:hAnsi="Times New Roman" w:eastAsia="Times New Roman" w:cs="Times New Roman"/>
          <w:sz w:val="24"/>
          <w:szCs w:val="24"/>
        </w:rPr>
        <w:t>储罐实际公称总容量为</w:t>
      </w:r>
      <w:r>
        <w:rPr>
          <w:rFonts w:hint="eastAsia" w:ascii="Times New Roman" w:hAnsi="Times New Roman" w:cs="Times New Roman"/>
          <w:sz w:val="24"/>
          <w:szCs w:val="24"/>
          <w:lang w:val="en-US" w:eastAsia="zh-CN"/>
        </w:rPr>
        <w:t>135337</w:t>
      </w:r>
      <w:r>
        <w:rPr>
          <w:rFonts w:ascii="Times New Roman" w:hAnsi="Times New Roman" w:eastAsia="Times New Roman" w:cs="Times New Roman"/>
          <w:sz w:val="24"/>
          <w:szCs w:val="24"/>
        </w:rPr>
        <w:t xml:space="preserve"> m³。92号汽油和95号汽油均选用内浮顶储罐并采用二次密封装置，以减少蒸发损耗和油气排放；0号柴油选用固定顶储罐。不同油品不得混罐储存，各油品应设置独立的罐前支线和阀组，防止错收、错发和油品混合。</w:t>
      </w:r>
    </w:p>
    <w:p w14:paraId="0E0BB300">
      <w:pPr>
        <w:bidi w:val="0"/>
      </w:pPr>
      <w:r>
        <w:t>根据现行《石油库设计规范》GB 50074—2014第3.0.1条表3.0.1注释，甲A类液体储罐容量可乘以系数2计入储罐计算总容量，丙A类液体储罐容量可乘以系数0.5计入储罐计算总容量，丙B类液体储罐容量可乘以系数0.25计入储罐计算总容量。甲B类、乙A类和乙B类液体储罐容量按实际公称容量计入。</w:t>
      </w:r>
    </w:p>
    <w:p w14:paraId="7A36CC4B">
      <w:pPr>
        <w:bidi w:val="0"/>
      </w:pPr>
      <w:r>
        <w:t>本设计中，92号汽油和95号汽油均按甲B类液体考虑，其储罐容量按实际公称容量计入；0号柴油按丙A类液体考虑，其储罐容量乘以0.5计入储罐计算总容量。因此，本油库用于等级划分的储罐计算总容量为：</w:t>
      </w:r>
    </w:p>
    <w:p w14:paraId="2C59C65D">
      <w:pPr>
        <w:bidi w:val="0"/>
      </w:pPr>
      <m:oMathPara>
        <m:oMath>
          <m:r>
            <m:rPr>
              <m:sty m:val="p"/>
            </m:rPr>
            <w:rPr>
              <w:rFonts w:ascii="Times New Roman" w:hAnsi="Times New Roman"/>
            </w:rPr>
            <m:t>TV=</m:t>
          </m:r>
          <m:r>
            <m:rPr>
              <m:sty m:val="p"/>
            </m:rPr>
            <w:rPr>
              <w:rFonts w:hint="default" w:ascii="Times New Roman" w:hAnsi="Times New Roman"/>
              <w:lang w:val="en-US" w:eastAsia="zh-CN"/>
            </w:rPr>
            <m:t>60000</m:t>
          </m:r>
          <m:r>
            <m:rPr>
              <m:sty m:val="p"/>
            </m:rPr>
            <w:rPr>
              <w:rFonts w:ascii="Times New Roman" w:hAnsi="Times New Roman"/>
            </w:rPr>
            <m:t>+</m:t>
          </m:r>
          <m:r>
            <m:rPr>
              <m:sty m:val="p"/>
            </m:rPr>
            <w:rPr>
              <w:rFonts w:hint="default" w:ascii="Times New Roman" w:hAnsi="Times New Roman"/>
              <w:lang w:val="en-US" w:eastAsia="zh-CN"/>
            </w:rPr>
            <m:t>40000</m:t>
          </m:r>
          <m:r>
            <m:rPr>
              <m:sty m:val="p"/>
            </m:rPr>
            <w:rPr>
              <w:rFonts w:ascii="Times New Roman" w:hAnsi="Times New Roman"/>
            </w:rPr>
            <m:t>+</m:t>
          </m:r>
          <m:r>
            <m:rPr>
              <m:sty m:val="p"/>
            </m:rPr>
            <w:rPr>
              <w:rFonts w:hint="default" w:ascii="Times New Roman" w:hAnsi="Times New Roman"/>
              <w:lang w:val="en-US" w:eastAsia="zh-CN"/>
            </w:rPr>
            <m:t>60000</m:t>
          </m:r>
          <m:r>
            <m:rPr>
              <m:sty m:val="p"/>
            </m:rPr>
            <w:rPr>
              <w:rFonts w:ascii="Times New Roman" w:hAnsi="Times New Roman"/>
            </w:rPr>
            <m:t>×0.5=</m:t>
          </m:r>
          <m:r>
            <m:rPr>
              <m:sty m:val="p"/>
            </m:rPr>
            <w:rPr>
              <w:rFonts w:hint="default" w:ascii="Times New Roman" w:hAnsi="Times New Roman"/>
              <w:lang w:val="en-US" w:eastAsia="zh-CN"/>
            </w:rPr>
            <m:t>130000</m:t>
          </m:r>
          <m:r>
            <m:rPr>
              <m:sty m:val="p"/>
            </m:rPr>
            <w:rPr>
              <w:rFonts w:ascii="Times New Roman" w:hAnsi="Times New Roman"/>
            </w:rPr>
            <m:t xml:space="preserve"> m³</m:t>
          </m:r>
        </m:oMath>
      </m:oMathPara>
    </w:p>
    <w:p w14:paraId="6B76724C">
      <w:pPr>
        <w:bidi w:val="0"/>
      </w:pPr>
      <w:r>
        <w:t>式中，92号汽油储罐容量为</w:t>
      </w:r>
      <w:r>
        <w:rPr>
          <w:rFonts w:hint="eastAsia"/>
          <w:lang w:val="en-US" w:eastAsia="zh-CN"/>
        </w:rPr>
        <w:t>60000</w:t>
      </w:r>
      <w:r>
        <w:t>m³，95号汽油储罐容量为</w:t>
      </w:r>
      <w:r>
        <w:rPr>
          <w:rFonts w:hint="eastAsia"/>
          <w:lang w:val="en-US" w:eastAsia="zh-CN"/>
        </w:rPr>
        <w:t>4</w:t>
      </w:r>
      <w:r>
        <w:t>0000m³，0号柴油储罐实际公称容量为</w:t>
      </w:r>
      <w:r>
        <w:rPr>
          <w:rFonts w:hint="eastAsia"/>
          <w:lang w:val="en-US" w:eastAsia="zh-CN"/>
        </w:rPr>
        <w:t>60000</w:t>
      </w:r>
      <w:r>
        <w:t>m³，折算后计入储罐计算总容量的容量为</w:t>
      </w:r>
      <w:r>
        <w:rPr>
          <w:rFonts w:hint="eastAsia"/>
          <w:lang w:val="en-US" w:eastAsia="zh-CN"/>
        </w:rPr>
        <w:t>130000</w:t>
      </w:r>
      <w:r>
        <w:t>m³。</w:t>
      </w:r>
    </w:p>
    <w:p w14:paraId="1BFADD8C">
      <w:pPr>
        <w:bidi w:val="0"/>
        <w:rPr>
          <w:rFonts w:hint="eastAsia" w:ascii="宋体" w:hAnsi="宋体" w:cs="宋体"/>
          <w:color w:val="auto"/>
          <w:highlight w:val="none"/>
          <w:lang w:val="en-US"/>
        </w:rPr>
      </w:pPr>
      <w:r>
        <w:t>根据《石油库设计规范》GB 50074—2014第3.0.1条，储罐计算总容量</w:t>
      </w:r>
      <w:r>
        <w:rPr>
          <w:rFonts w:hint="eastAsia"/>
          <w:lang w:val="en-US" w:eastAsia="zh-CN"/>
        </w:rPr>
        <w:t>大</w:t>
      </w:r>
      <w:r>
        <w:t>于100000m³的石油库属于</w:t>
      </w:r>
      <w:r>
        <w:rPr>
          <w:rFonts w:hint="eastAsia"/>
          <w:lang w:val="en-US" w:eastAsia="zh-CN"/>
        </w:rPr>
        <w:t>一</w:t>
      </w:r>
      <w:r>
        <w:t>级石油库。本油库储罐实际公称总容量为</w:t>
      </w:r>
      <w:r>
        <w:rPr>
          <w:rFonts w:hint="eastAsia"/>
          <w:lang w:val="en-US" w:eastAsia="zh-CN"/>
        </w:rPr>
        <w:t>160000</w:t>
      </w:r>
      <w:r>
        <w:t>m³，用于油库等级划分的储罐计算总容量为</w:t>
      </w:r>
      <w:r>
        <w:rPr>
          <w:rFonts w:hint="eastAsia"/>
          <w:lang w:val="en-US" w:eastAsia="zh-CN"/>
        </w:rPr>
        <w:t>130000</w:t>
      </w:r>
      <w:r>
        <w:t>m³，因此本油库确定为</w:t>
      </w:r>
      <w:r>
        <w:rPr>
          <w:rFonts w:hint="eastAsia"/>
          <w:lang w:val="en-US" w:eastAsia="zh-CN"/>
        </w:rPr>
        <w:t>一</w:t>
      </w:r>
      <w:r>
        <w:t>级石油库。</w:t>
      </w:r>
    </w:p>
    <w:p w14:paraId="44279EF5">
      <w:pPr>
        <w:pStyle w:val="8"/>
        <w:bidi w:val="0"/>
        <w:rPr>
          <w:rFonts w:hint="eastAsia"/>
          <w:lang w:val="en-US" w:eastAsia="zh-CN"/>
        </w:rPr>
      </w:pPr>
      <w:r>
        <w:rPr>
          <w:rFonts w:hint="eastAsia"/>
          <w:lang w:val="en-US" w:eastAsia="zh-CN"/>
        </w:rPr>
        <w:t>4.3油库的分区</w:t>
      </w:r>
    </w:p>
    <w:p w14:paraId="398BB3CA">
      <w:pPr>
        <w:bidi w:val="0"/>
        <w:rPr>
          <w:rFonts w:hint="eastAsia"/>
          <w:highlight w:val="yellow"/>
        </w:rPr>
      </w:pPr>
      <w:r>
        <w:rPr>
          <w:rFonts w:hint="eastAsia"/>
        </w:rPr>
        <w:t>根据上一节计算结果，本油库用于等级划分的储罐计算总容量为</w:t>
      </w:r>
      <w:r>
        <w:rPr>
          <w:rFonts w:hint="eastAsia"/>
          <w:lang w:val="en-US" w:eastAsia="zh-CN"/>
        </w:rPr>
        <w:t>130000</w:t>
      </w:r>
      <w:r>
        <w:rPr>
          <w:rFonts w:hint="eastAsia"/>
        </w:rPr>
        <w:t>m³，属于</w:t>
      </w:r>
      <w:r>
        <w:rPr>
          <w:rFonts w:hint="eastAsia"/>
          <w:lang w:val="en-US" w:eastAsia="zh-CN"/>
        </w:rPr>
        <w:t>一</w:t>
      </w:r>
      <w:r>
        <w:rPr>
          <w:rFonts w:hint="eastAsia"/>
        </w:rPr>
        <w:t>级石油库。油库内各类设施在生产操作方式、油气散发程度、火灾危险性和人员活动特点方面存在明显差异，因此必须按照功能和危险程度实施分区布置，使危险作业、辅助生产和行政管理相互协调，并限制无关人员和车辆进入生产作业区域。</w:t>
      </w:r>
      <w:r>
        <w:rPr>
          <w:rFonts w:hint="eastAsia" w:ascii="Times New Roman" w:hAnsi="Times New Roman" w:eastAsia="宋体" w:cs="Times New Roman"/>
          <w:sz w:val="18"/>
          <w:szCs w:val="22"/>
          <w:highlight w:val="yellow"/>
          <w:vertAlign w:val="superscript"/>
        </w:rPr>
        <w:t>[</w:t>
      </w:r>
      <w:r>
        <w:rPr>
          <w:rFonts w:hint="eastAsia" w:ascii="Times New Roman" w:hAnsi="Times New Roman" w:cs="Times New Roman"/>
          <w:sz w:val="18"/>
          <w:szCs w:val="22"/>
          <w:highlight w:val="yellow"/>
          <w:vertAlign w:val="superscript"/>
          <w:lang w:val="en-US" w:eastAsia="zh-CN"/>
        </w:rPr>
        <w:t>15</w:t>
      </w:r>
      <w:r>
        <w:rPr>
          <w:rFonts w:hint="eastAsia" w:ascii="Times New Roman" w:hAnsi="Times New Roman" w:eastAsia="宋体" w:cs="Times New Roman"/>
          <w:sz w:val="18"/>
          <w:szCs w:val="22"/>
          <w:highlight w:val="yellow"/>
          <w:vertAlign w:val="superscript"/>
        </w:rPr>
        <w:t>]</w:t>
      </w:r>
    </w:p>
    <w:p w14:paraId="133E4832">
      <w:pPr>
        <w:bidi w:val="0"/>
        <w:rPr>
          <w:rFonts w:hint="eastAsia" w:eastAsia="宋体"/>
          <w:lang w:eastAsia="zh-CN"/>
        </w:rPr>
      </w:pPr>
      <w:r>
        <w:rPr>
          <w:rFonts w:hint="eastAsia"/>
        </w:rPr>
        <w:t>根据现行《石油库设计规范》GB 50074—2014第5.1.1条，石油库总平面应按储罐区、易燃和可燃液体装卸区、辅助作业区和行政管理区进行分区布置。库区划分为储</w:t>
      </w:r>
      <w:r>
        <w:rPr>
          <w:rFonts w:hint="eastAsia"/>
          <w:lang w:val="en-US" w:eastAsia="zh-CN"/>
        </w:rPr>
        <w:t>罐</w:t>
      </w:r>
      <w:r>
        <w:rPr>
          <w:rFonts w:hint="eastAsia"/>
        </w:rPr>
        <w:t>区、装卸区、辅助生产区和行政管理区四大功能区</w:t>
      </w:r>
      <w:r>
        <w:rPr>
          <w:rFonts w:hint="eastAsia"/>
          <w:lang w:eastAsia="zh-CN"/>
        </w:rPr>
        <w:t>。</w:t>
      </w:r>
    </w:p>
    <w:p w14:paraId="4BD1D05F">
      <w:pPr>
        <w:bidi w:val="0"/>
        <w:rPr>
          <w:rFonts w:hint="eastAsia"/>
          <w:highlight w:val="yellow"/>
        </w:rPr>
      </w:pPr>
      <w:r>
        <w:rPr>
          <w:rFonts w:hint="eastAsia"/>
        </w:rPr>
        <w:t>油库分区应遵循分区明确、布局紧凑、流程顺畅、安全可靠和管理方便的原则。在满足防火间距的前提下，应缩短油品收发管线和公用工程管线，减少生产车辆与办公人员流线的交叉，并为消防救援、设备检修和油库后续发展保留必要条件。</w:t>
      </w:r>
      <w:r>
        <w:rPr>
          <w:rFonts w:hint="eastAsia" w:ascii="Times New Roman" w:hAnsi="Times New Roman" w:eastAsia="宋体" w:cs="Times New Roman"/>
          <w:sz w:val="18"/>
          <w:szCs w:val="22"/>
          <w:highlight w:val="yellow"/>
          <w:vertAlign w:val="superscript"/>
        </w:rPr>
        <w:t>[</w:t>
      </w:r>
      <w:r>
        <w:rPr>
          <w:rFonts w:hint="eastAsia" w:ascii="Times New Roman" w:hAnsi="Times New Roman" w:cs="Times New Roman"/>
          <w:sz w:val="18"/>
          <w:szCs w:val="22"/>
          <w:highlight w:val="yellow"/>
          <w:vertAlign w:val="superscript"/>
          <w:lang w:val="en-US" w:eastAsia="zh-CN"/>
        </w:rPr>
        <w:t>16</w:t>
      </w:r>
      <w:r>
        <w:rPr>
          <w:rFonts w:hint="eastAsia" w:ascii="Times New Roman" w:hAnsi="Times New Roman" w:eastAsia="宋体" w:cs="Times New Roman"/>
          <w:sz w:val="18"/>
          <w:szCs w:val="22"/>
          <w:highlight w:val="yellow"/>
          <w:vertAlign w:val="superscript"/>
        </w:rPr>
        <w:t>]</w:t>
      </w:r>
    </w:p>
    <w:p w14:paraId="405E1346">
      <w:pPr>
        <w:widowControl/>
        <w:spacing w:before="0" w:after="0" w:line="360" w:lineRule="auto"/>
        <w:ind w:firstLine="480"/>
        <w:jc w:val="both"/>
      </w:pPr>
      <w:r>
        <w:rPr>
          <w:rFonts w:hint="eastAsia"/>
        </w:rPr>
        <w:t>本</w:t>
      </w:r>
      <w:r>
        <w:rPr>
          <w:rFonts w:hint="eastAsia"/>
          <w:lang w:val="en-US" w:eastAsia="zh-CN"/>
        </w:rPr>
        <w:t>选题</w:t>
      </w:r>
      <w:r>
        <w:rPr>
          <w:rFonts w:hint="eastAsia"/>
        </w:rPr>
        <w:t>拟建于广州市黄埔区广深公路主干道两旁</w:t>
      </w:r>
      <w:r>
        <w:rPr>
          <w:rFonts w:hint="eastAsia"/>
          <w:lang w:eastAsia="zh-CN"/>
        </w:rPr>
        <w:t>。</w:t>
      </w:r>
      <w:r>
        <w:rPr>
          <w:rFonts w:ascii="Times New Roman" w:hAnsi="Times New Roman" w:eastAsia="宋体"/>
          <w:b w:val="0"/>
          <w:sz w:val="24"/>
        </w:rPr>
        <w:t>总平面布置以正式用地红线、场地测量资料及周边现状调查为依据；广深公路两侧地块分别组织生产、消防和疏散系统，不将广深公路作为库内循环道路。场地设计标高按GB 50074—2014第5.3.1条确定，避免洪水、潮水及内涝水淹没。</w:t>
      </w:r>
    </w:p>
    <w:p w14:paraId="23D1C4AE">
      <w:pPr>
        <w:pStyle w:val="8"/>
        <w:bidi w:val="0"/>
        <w:rPr>
          <w:rFonts w:hint="eastAsia"/>
          <w:lang w:val="en-US" w:eastAsia="zh-CN"/>
        </w:rPr>
      </w:pPr>
      <w:r>
        <w:rPr>
          <w:rFonts w:hint="eastAsia"/>
          <w:lang w:val="en-US" w:eastAsia="zh-CN"/>
        </w:rPr>
        <w:t>4.2油库的分区</w:t>
      </w:r>
    </w:p>
    <w:p w14:paraId="5B54A5C2">
      <w:pPr>
        <w:bidi w:val="0"/>
        <w:rPr>
          <w:rFonts w:hint="eastAsia"/>
        </w:rPr>
      </w:pPr>
      <w:r>
        <w:rPr>
          <w:rFonts w:hint="eastAsia"/>
        </w:rPr>
        <w:t>根据4.1节确定的储罐配置，本油库储罐实际公称总容量为</w:t>
      </w:r>
      <w:r>
        <w:rPr>
          <w:rFonts w:hint="eastAsia"/>
          <w:lang w:val="en-US" w:eastAsia="zh-CN"/>
        </w:rPr>
        <w:t>160000</w:t>
      </w:r>
      <w:r>
        <w:rPr>
          <w:rFonts w:hint="eastAsia"/>
        </w:rPr>
        <w:t>m³，储罐计算总容量为</w:t>
      </w:r>
      <w:r>
        <w:rPr>
          <w:rFonts w:hint="eastAsia"/>
          <w:lang w:val="en-US" w:eastAsia="zh-CN"/>
        </w:rPr>
        <w:t>135337</w:t>
      </w:r>
      <w:r>
        <w:rPr>
          <w:rFonts w:hint="eastAsia"/>
        </w:rPr>
        <w:t>m³，按《石油库设计规范》GB 50074—2014第3.0.1条划分为一级石油库。项目建设地点统一按广州市黄埔区广深公路主干道两旁考虑。依据GB 50074—2014第5.1.1条，库区划分为储油区、装卸区、辅助生产区和行政管理区，分别对应规范中的储罐区、易燃和可燃液体装卸区、辅助作业区和行政管理区。各区建（构）筑物及设施之间的防火距离按该规范第5.1.3条及表5.1.3校核。</w:t>
      </w:r>
    </w:p>
    <w:p w14:paraId="665D3CF1">
      <w:pPr>
        <w:bidi w:val="0"/>
        <w:rPr>
          <w:rFonts w:hint="eastAsia"/>
        </w:rPr>
      </w:pPr>
      <w:r>
        <w:rPr>
          <w:rFonts w:hint="eastAsia"/>
        </w:rPr>
        <w:t>广深公路两侧地块分别组织生产、消防和疏散系统，广深公路不作为库内循环道路。两侧地块的具体功能分配应以正式用地红线、地形测量资料、周边建（构）筑物现状及防火间距计算结果为依据；本阶段不设置跨越广深公路的油品工艺管线。</w:t>
      </w:r>
    </w:p>
    <w:p w14:paraId="3F994A42">
      <w:pPr>
        <w:bidi w:val="0"/>
        <w:rPr>
          <w:rFonts w:hint="eastAsia"/>
        </w:rPr>
      </w:pPr>
      <w:r>
        <w:rPr>
          <w:rFonts w:hint="eastAsia"/>
        </w:rPr>
        <w:t>（1）储油区</w:t>
      </w:r>
    </w:p>
    <w:p w14:paraId="775AC7FE">
      <w:pPr>
        <w:bidi w:val="0"/>
        <w:rPr>
          <w:rFonts w:hint="eastAsia"/>
        </w:rPr>
      </w:pPr>
      <w:r>
        <w:rPr>
          <w:rFonts w:hint="eastAsia"/>
        </w:rPr>
        <w:t>储油区布置92号汽油、95号汽油和0号柴油三个独立罐组，各罐组的储罐配置和罐型沿用4.1节的计算结果。92号汽油罐组总容量为</w:t>
      </w:r>
      <w:r>
        <w:rPr>
          <w:rFonts w:hint="eastAsia"/>
          <w:lang w:val="en-US" w:eastAsia="zh-CN"/>
        </w:rPr>
        <w:t>6</w:t>
      </w:r>
      <w:r>
        <w:rPr>
          <w:rFonts w:hint="eastAsia"/>
        </w:rPr>
        <w:t>0000m³，95号汽油罐组总容量为</w:t>
      </w:r>
      <w:r>
        <w:rPr>
          <w:rFonts w:hint="eastAsia"/>
          <w:lang w:val="en-US" w:eastAsia="zh-CN"/>
        </w:rPr>
        <w:t>4</w:t>
      </w:r>
      <w:r>
        <w:rPr>
          <w:rFonts w:hint="eastAsia"/>
        </w:rPr>
        <w:t>0000m³，0号柴油罐组总容量为</w:t>
      </w:r>
      <w:r>
        <w:rPr>
          <w:rFonts w:hint="eastAsia"/>
          <w:lang w:val="en-US" w:eastAsia="zh-CN"/>
        </w:rPr>
        <w:t>6</w:t>
      </w:r>
      <w:r>
        <w:rPr>
          <w:rFonts w:hint="eastAsia"/>
        </w:rPr>
        <w:t>0000m³。根据GB 50074—2014第6.1.10条，甲B、乙和丙A类液体储罐可同组布置；本设计为防止不同牌号油品混存并便于独立计量和检修，仍按油品分别成组。</w:t>
      </w:r>
    </w:p>
    <w:p w14:paraId="78190D6C">
      <w:pPr>
        <w:bidi w:val="0"/>
        <w:rPr>
          <w:rFonts w:hint="eastAsia"/>
        </w:rPr>
      </w:pPr>
      <w:r>
        <w:rPr>
          <w:rFonts w:hint="eastAsia"/>
        </w:rPr>
        <w:t>92号和95号汽油罐组采用钢质内浮顶时，其罐组容量分别小于GB 50074—2014第6.1.11条规定的360000m³上限；0号柴油固定顶罐组容量小于该条规定的120000m³上限。各罐组储罐数量不得超过该规范第6.1.12条规定的12座，储罐排列不得超过2排，执行第6.1.13条。罐组内相邻储罐防火距离按第6.1.15条及表6.1.15，根据储罐类别、罐型和相邻储罐中较大罐直径计算。</w:t>
      </w:r>
    </w:p>
    <w:p w14:paraId="307F1F7E">
      <w:pPr>
        <w:bidi w:val="0"/>
        <w:rPr>
          <w:rFonts w:hint="eastAsia"/>
        </w:rPr>
      </w:pPr>
      <w:r>
        <w:rPr>
          <w:rFonts w:hint="eastAsia"/>
        </w:rPr>
        <w:t>各地上储罐组均设置防火堤。防火堤内有效容量不小于罐组内一个最大储罐的容量，储罐罐壁至防火堤内堤脚线的距离不小于罐壁高度的一半，分别执行GB 50074—2014第6.5.1条和第6.5.2条。甲B、丙A类液体泵站设置在防火堤外，符合第5.1.14条。</w:t>
      </w:r>
    </w:p>
    <w:p w14:paraId="553FFFD9">
      <w:pPr>
        <w:bidi w:val="0"/>
        <w:rPr>
          <w:rFonts w:hint="eastAsia"/>
        </w:rPr>
      </w:pPr>
      <w:r>
        <w:rPr>
          <w:rFonts w:hint="eastAsia"/>
        </w:rPr>
        <w:t>（2）装卸区</w:t>
      </w:r>
    </w:p>
    <w:p w14:paraId="54E8BFE6">
      <w:pPr>
        <w:bidi w:val="0"/>
        <w:rPr>
          <w:rFonts w:hint="eastAsia"/>
        </w:rPr>
      </w:pPr>
      <w:r>
        <w:rPr>
          <w:rFonts w:hint="eastAsia"/>
        </w:rPr>
        <w:t>油品收发方式沿用4.1节确定的方案，即三种油品均采用管道进库，出库采用管输与公路运输相结合的方式，不设置铁路和水运装卸设施。公路装卸区布置汽车罐车装车设施、油品泵站、控制设施、计量设施和油气回收处理装置，设施组成依据GB 50074—2014第5.1.1条表5.1.1确定。</w:t>
      </w:r>
    </w:p>
    <w:p w14:paraId="04EEDA9D">
      <w:pPr>
        <w:bidi w:val="0"/>
        <w:rPr>
          <w:rFonts w:hint="eastAsia"/>
        </w:rPr>
      </w:pPr>
      <w:r>
        <w:rPr>
          <w:rFonts w:hint="eastAsia"/>
        </w:rPr>
        <w:t>公路装卸区靠近库外道路布置，并采用围墙与其他功能区分隔，符合GB 50074—2014第5.1.11条。汽车罐车由独立出入口进入装卸区，按检查、等候、装车和驶离顺序组织单向交通；装卸区车辆出入口直接通往库外道路，执行第5.2.11条第4款。</w:t>
      </w:r>
    </w:p>
    <w:p w14:paraId="3DD26537">
      <w:pPr>
        <w:bidi w:val="0"/>
        <w:rPr>
          <w:rFonts w:hint="eastAsia"/>
        </w:rPr>
      </w:pPr>
      <w:r>
        <w:rPr>
          <w:rFonts w:hint="eastAsia"/>
        </w:rPr>
        <w:t>（3）辅助生产区</w:t>
      </w:r>
    </w:p>
    <w:p w14:paraId="3828D0AF">
      <w:pPr>
        <w:bidi w:val="0"/>
        <w:rPr>
          <w:rFonts w:hint="eastAsia"/>
        </w:rPr>
      </w:pPr>
      <w:r>
        <w:rPr>
          <w:rFonts w:hint="eastAsia"/>
        </w:rPr>
        <w:t>辅助生产区设置消防泵房、消防水储存设施、变配电设施、机修及器材储存设施、化验设施和污水处理设施，设施范围依据GB 50074—2014第5.1.1条表5.1.1确定。使用性质相近的建（构）筑物在满足生产和防火要求的条件下合并设置，符合第5.1.2条。</w:t>
      </w:r>
    </w:p>
    <w:p w14:paraId="42EDB4A9">
      <w:pPr>
        <w:bidi w:val="0"/>
        <w:rPr>
          <w:rFonts w:hint="eastAsia"/>
        </w:rPr>
      </w:pPr>
      <w:r>
        <w:rPr>
          <w:rFonts w:hint="eastAsia"/>
        </w:rPr>
        <w:t>储罐区泡沫站设置在罐组防火堤外的非防爆区，与储罐的防火间距不小于20m，执行GB 50074—2014第5.1.13条。消防泵房、变配电设施和控制设施的位置应避开油品泄漏及火灾直接影响范围，其与储罐、泵站和装卸设施的防火距离按第5.1.3条及表5.1.3确定。</w:t>
      </w:r>
    </w:p>
    <w:p w14:paraId="531F99B8">
      <w:pPr>
        <w:bidi w:val="0"/>
        <w:rPr>
          <w:rFonts w:hint="eastAsia"/>
        </w:rPr>
      </w:pPr>
      <w:r>
        <w:rPr>
          <w:rFonts w:hint="eastAsia"/>
        </w:rPr>
        <w:t>（4）行政管理区</w:t>
      </w:r>
    </w:p>
    <w:p w14:paraId="04CDB691">
      <w:pPr>
        <w:bidi w:val="0"/>
        <w:rPr>
          <w:rFonts w:hint="eastAsia"/>
        </w:rPr>
      </w:pPr>
      <w:r>
        <w:rPr>
          <w:rFonts w:hint="eastAsia"/>
        </w:rPr>
        <w:t>行政管理区设置门卫、办公用房和必要的管理设施，靠近人员主要出入口布置，并与生产运输流线分开。根据GB 50074—2014第5.1.12条，办公室、控制室等人员集中场所布置在储罐区全年最小频率风向的下风侧；最终方位以场址全年风频资料和总平面方案比选结果确定。行政管理区设置直接通往库外道路的车辆出入口，符合第5.2.11条第4款。</w:t>
      </w:r>
    </w:p>
    <w:p w14:paraId="0C92EA89">
      <w:pPr>
        <w:pStyle w:val="8"/>
        <w:bidi w:val="0"/>
        <w:rPr>
          <w:rFonts w:hint="eastAsia"/>
          <w:lang w:val="en-US" w:eastAsia="zh-CN"/>
        </w:rPr>
      </w:pPr>
      <w:r>
        <w:rPr>
          <w:rFonts w:hint="eastAsia"/>
          <w:lang w:val="en-US" w:eastAsia="zh-CN"/>
        </w:rPr>
        <w:t>4.3库区道路规划</w:t>
      </w:r>
    </w:p>
    <w:p w14:paraId="7C97E190">
      <w:pPr>
        <w:bidi w:val="0"/>
        <w:rPr>
          <w:rFonts w:hint="eastAsia"/>
        </w:rPr>
      </w:pPr>
      <w:r>
        <w:rPr>
          <w:rFonts w:hint="eastAsia"/>
        </w:rPr>
        <w:t>储罐区设置环形消防车道，汽车罐车装卸设施设置能够保证消防车辆接近作业场地的消防车道，分别执行GB 50074—2014第5.2.1条和第5.2.5条。本项目为一级石油库，储罐区和装卸区消防车道总宽度取不小于9m，其中路面宽度取不小于7m，数据来源为第5.2.8条。</w:t>
      </w:r>
    </w:p>
    <w:p w14:paraId="6F697BFF">
      <w:pPr>
        <w:bidi w:val="0"/>
        <w:rPr>
          <w:rFonts w:hint="eastAsia"/>
        </w:rPr>
      </w:pPr>
      <w:r>
        <w:rPr>
          <w:rFonts w:hint="eastAsia"/>
        </w:rPr>
        <w:t>三个罐组分别设置环形消防车道。92号汽油罐组总容量为140000m³</w:t>
      </w:r>
      <w:r>
        <w:rPr>
          <w:rFonts w:hint="eastAsia"/>
          <w:lang w:eastAsia="zh-CN"/>
        </w:rPr>
        <w:t>，</w:t>
      </w:r>
      <w:r>
        <w:rPr>
          <w:rFonts w:hint="eastAsia"/>
        </w:rPr>
        <w:t>大于120000m³，按GB 50074—2014第5.2.2条第1款设置环形消防车道，并按第4款设置不少于2个进入环形消防车道的路口，路口宜位于不同方位。不同罐组不共用同一环形消防车道；如施工图阶段调整为共用环道，环道内罐组储罐总容量不得大于120000m³，相邻罐组防火堤外堤脚线之间的消防空地宽度不得小于7m。</w:t>
      </w:r>
    </w:p>
    <w:p w14:paraId="4889903A">
      <w:pPr>
        <w:bidi w:val="0"/>
        <w:rPr>
          <w:rFonts w:hint="eastAsia"/>
        </w:rPr>
      </w:pPr>
      <w:r>
        <w:rPr>
          <w:rFonts w:hint="eastAsia"/>
        </w:rPr>
        <w:t>除规范规定的例外情形外，储罐至少与1条消防车道相邻，储罐中心至少与2条消防车道的距离均不大于120m；受场地条件限制时，储罐中心至最近消防车道的距离不大于80m，执行GB 50074—2014第5.2.3条。消防车道路面标高宜高于防火堤外侧地面设计标高0.5m及以上，消防车道与防火堤外堤脚线之间的距离不小于3m，分别依据第5.2.6条和第5.2.7条。</w:t>
      </w:r>
    </w:p>
    <w:p w14:paraId="79F74505">
      <w:pPr>
        <w:bidi w:val="0"/>
        <w:rPr>
          <w:rFonts w:hint="eastAsia"/>
        </w:rPr>
      </w:pPr>
      <w:r>
        <w:rPr>
          <w:rFonts w:hint="eastAsia"/>
        </w:rPr>
        <w:t>消防车道净空高度不小于5.0m，转弯半径不宜小于12m，依据GB 50074—2014第5.2.9条。尽头式消防车道设置回车场；两个路口间消防车道长度大于300m时，在中段设置回车场，依据第5.2.10条。回车场尺寸在施工图阶段按选用消防车辆的转弯轨迹确定。</w:t>
      </w:r>
    </w:p>
    <w:p w14:paraId="336170B1">
      <w:pPr>
        <w:bidi w:val="0"/>
        <w:rPr>
          <w:rFonts w:hint="eastAsia"/>
        </w:rPr>
      </w:pPr>
      <w:r>
        <w:rPr>
          <w:rFonts w:hint="eastAsia"/>
        </w:rPr>
        <w:t>油库设置与公路连接的库外道路，其路面宽度不小于7m；油库通向库外道路的车辆出入口不少于2处并宜位于不同方位；储罐区车辆出入口不少于2处并位于不同方位；行政管理区和公路装卸区分别设置直接通往库外道路的车辆出入口。上述数据和设置要求均来源于GB 50074—2014第5.2.11条。危险品运输道路纵坡不大于6%，执行第5.2.12条。</w:t>
      </w:r>
    </w:p>
    <w:p w14:paraId="4F422B18">
      <w:pPr>
        <w:bidi w:val="0"/>
        <w:rPr>
          <w:rFonts w:hint="eastAsia"/>
        </w:rPr>
      </w:pPr>
      <w:r>
        <w:rPr>
          <w:rFonts w:hint="eastAsia"/>
        </w:rPr>
        <w:t>广深公路两侧地块分别形成可独立到达的消防道路和对外出入口系统，广深公路仅作为库外交通联系道路，不纳入库内消防环道。两侧地块间的消防支援路线应在消防专项设计和应急预案中确定。</w:t>
      </w:r>
    </w:p>
    <w:p w14:paraId="2F15F217">
      <w:pPr>
        <w:pStyle w:val="8"/>
        <w:bidi w:val="0"/>
        <w:rPr>
          <w:rFonts w:hint="eastAsia"/>
          <w:lang w:val="en-US" w:eastAsia="zh-CN"/>
        </w:rPr>
      </w:pPr>
      <w:r>
        <w:rPr>
          <w:rFonts w:hint="eastAsia"/>
          <w:lang w:val="en-US" w:eastAsia="zh-CN"/>
        </w:rPr>
        <w:t>4.4综合管线布置</w:t>
      </w:r>
    </w:p>
    <w:p w14:paraId="788B319F">
      <w:pPr>
        <w:bidi w:val="0"/>
        <w:rPr>
          <w:rFonts w:hint="eastAsia"/>
        </w:rPr>
      </w:pPr>
      <w:r>
        <w:rPr>
          <w:rFonts w:hint="eastAsia"/>
        </w:rPr>
        <w:t>综合管线包括油品工艺管线、油气回收管线、消防给水及泡沫管线、生产生活给水管线、雨水及含油污水管线、电力电缆和通信控制线路。本节仅确定各类管线在总平面中的通道和空间关系，管径及水力计算在相应专业章节确定。</w:t>
      </w:r>
    </w:p>
    <w:p w14:paraId="1BA1DEF6">
      <w:pPr>
        <w:bidi w:val="0"/>
        <w:rPr>
          <w:rFonts w:hint="eastAsia"/>
        </w:rPr>
      </w:pPr>
      <w:r>
        <w:rPr>
          <w:rFonts w:hint="eastAsia"/>
        </w:rPr>
        <w:t>依据GB 50074—2014第9.1.1条，库内工艺管道以地上敷设为主，局部道路穿越段采用埋地或防护套管。地上管道不环绕罐组，不占用消防车道和回车场；位于防火堤与消防车道之间的管道不得妨碍消防人员通行和作业，执行第9.1.2条。地上工艺管道避开消防泵房、变配电间、办公室和控制室等人员集中建筑；距离小于15m时，朝向管道一侧外墙采用无门窗的不燃烧体实体墙，执行第9.1.4条。</w:t>
      </w:r>
    </w:p>
    <w:p w14:paraId="2E519063">
      <w:pPr>
        <w:bidi w:val="0"/>
        <w:rPr>
          <w:rFonts w:hint="eastAsia"/>
        </w:rPr>
      </w:pPr>
      <w:r>
        <w:rPr>
          <w:rFonts w:hint="eastAsia"/>
        </w:rPr>
        <w:t>管道穿越道路时，交角不宜小于60°，穿越管段敷设在涵洞或套管内，或采取其他防护措施，依据GB 50074—2014第9.1.5条。架空管道跨越消防车道时，路面以上净空高度不小于5.0m；跨越其他车行道路时不小于4.5m；跨越段不得设置阀门、法兰等可能发生渗漏的组成件，依据第9.1.6条。地上管道沿道路平行布置时距路边不小于1m，埋地管道不得敷设在路面下方，执行第9.1.8条。</w:t>
      </w:r>
    </w:p>
    <w:p w14:paraId="200EF92D">
      <w:pPr>
        <w:bidi w:val="0"/>
        <w:rPr>
          <w:rFonts w:hint="eastAsia"/>
        </w:rPr>
      </w:pPr>
      <w:r>
        <w:rPr>
          <w:rFonts w:hint="eastAsia"/>
        </w:rPr>
        <w:t>一级石油库地上储罐区消防给水管道采用环状敷设，环形管道的进水管道不少于2条，且每条管道均能通过全部消防用水量，数据来源为GB 50074—2014第12.2.5条。地上或非充沙管沟敷设的金属工艺管道在始端、末端、分支处以及直线段每隔200～300m设置防静电和防雷击电磁脉冲接地装置，执行第14.3.10条。</w:t>
      </w:r>
    </w:p>
    <w:p w14:paraId="38EBBEC7">
      <w:pPr>
        <w:bidi w:val="0"/>
        <w:rPr>
          <w:rFonts w:hint="eastAsia" w:eastAsia="宋体"/>
          <w:lang w:val="en-US" w:eastAsia="zh-CN"/>
        </w:rPr>
        <w:sectPr>
          <w:footerReference r:id="rId6" w:type="first"/>
          <w:footerReference r:id="rId5" w:type="default"/>
          <w:footnotePr>
            <w:numFmt w:val="decimalEnclosedCircleChinese"/>
            <w:numRestart w:val="eachPage"/>
          </w:footnotePr>
          <w:pgSz w:w="11906" w:h="16838"/>
          <w:pgMar w:top="1701" w:right="1134" w:bottom="1417" w:left="1417" w:header="907" w:footer="850" w:gutter="0"/>
          <w:pgNumType w:fmt="numberInDash"/>
          <w:cols w:space="720" w:num="1"/>
          <w:titlePg/>
          <w:docGrid w:type="lines" w:linePitch="321" w:charSpace="0"/>
        </w:sectPr>
      </w:pPr>
      <w:r>
        <w:rPr>
          <w:rFonts w:hint="eastAsia"/>
        </w:rPr>
        <w:t>广深公路两侧地块分别设置完整的工艺、公用工程和消防管线系统，本阶段不设置跨越广深公路的油品工艺管线。后续确需跨路连通时，应根据道路管理、规划和安全管理要求另行开展专项论证并办理审批</w:t>
      </w:r>
      <w:r>
        <w:rPr>
          <w:rFonts w:hint="eastAsia"/>
          <w:lang w:eastAsia="zh-CN"/>
        </w:rPr>
        <w:t>。</w:t>
      </w:r>
    </w:p>
    <w:p w14:paraId="7CFA80FF">
      <w:pPr>
        <w:ind w:left="0" w:leftChars="0" w:firstLine="0" w:firstLineChars="0"/>
      </w:pPr>
      <w:bookmarkStart w:id="0" w:name="_GoBack"/>
      <w:bookmarkEnd w:id="0"/>
    </w:p>
    <w:sectPr>
      <w:footerReference r:id="rId7"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C3745">
    <w:pPr>
      <w:pStyle w:val="2"/>
      <w:rPr>
        <w:lang w:val="en-US"/>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EDB84">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7EDB84">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3AD0A">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EE425E">
                          <w:pPr>
                            <w:pStyle w:val="2"/>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18EE425E">
                    <w:pPr>
                      <w:pStyle w:val="2"/>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2"/>
      <w:rPr>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2"/>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2"/>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360" w:lineRule="auto"/>
        <w:ind w:firstLine="480"/>
      </w:pPr>
      <w:r>
        <w:separator/>
      </w:r>
    </w:p>
  </w:footnote>
  <w:footnote w:type="continuationSeparator" w:id="3">
    <w:p>
      <w:pPr>
        <w:spacing w:line="360" w:lineRule="auto"/>
        <w:ind w:firstLine="480"/>
      </w:pPr>
      <w:r>
        <w:continuationSeparator/>
      </w:r>
    </w:p>
  </w:footnote>
  <w:footnote w:id="0">
    <w:p w14:paraId="26132303">
      <w:pPr>
        <w:spacing w:before="0" w:after="0" w:line="360" w:lineRule="auto"/>
        <w:ind w:firstLine="0"/>
        <w:jc w:val="both"/>
        <w:rPr>
          <w:rFonts w:hint="eastAsia" w:eastAsia="宋体"/>
          <w:lang w:val="en-US" w:eastAsia="zh-CN"/>
        </w:rPr>
      </w:pPr>
      <w:r>
        <w:rPr>
          <w:rStyle w:val="6"/>
          <w:sz w:val="18"/>
          <w:szCs w:val="18"/>
        </w:rPr>
        <w:footnoteRef/>
      </w:r>
      <w:r>
        <w:rPr>
          <w:rFonts w:hint="default" w:ascii="宋体" w:hAnsi="宋体" w:eastAsia="宋体" w:cstheme="minorBidi"/>
          <w:kern w:val="0"/>
          <w:sz w:val="18"/>
          <w:szCs w:val="18"/>
          <w:lang w:val="en-US" w:eastAsia="en-US" w:bidi="ar-SA"/>
        </w:rPr>
        <w:fldChar w:fldCharType="begin"/>
      </w:r>
      <w:r>
        <w:instrText xml:space="preserve"> REF _Ref32068 \h  \* MERGEFORMAT</w:instrText>
      </w:r>
      <w:r>
        <w:rPr>
          <w:rFonts w:hint="default" w:ascii="宋体" w:hAnsi="宋体" w:eastAsia="宋体" w:cstheme="minorBidi"/>
          <w:kern w:val="0"/>
          <w:sz w:val="18"/>
          <w:szCs w:val="18"/>
          <w:lang w:val="en-US" w:eastAsia="en-US" w:bidi="ar-SA"/>
        </w:rPr>
        <w:fldChar w:fldCharType="separate"/>
      </w:r>
      <w:r>
        <w:rPr>
          <w:rFonts w:ascii="宋体" w:hAnsi="宋体" w:eastAsia="宋体" w:cstheme="minorBidi"/>
          <w:kern w:val="0"/>
          <w:sz w:val="18"/>
          <w:szCs w:val="18"/>
          <w:lang w:val="en-US" w:eastAsia="en-US" w:bidi="ar-SA"/>
        </w:rPr>
        <w:t>油库毕业设计指导书[Z]. 第五章“油库设计”：139-154.</w:t>
      </w:r>
      <w:r>
        <w:rPr>
          <w:rFonts w:hint="default" w:ascii="宋体" w:hAnsi="宋体" w:eastAsia="宋体" w:cstheme="minorBidi"/>
          <w:kern w:val="0"/>
          <w:sz w:val="18"/>
          <w:szCs w:val="18"/>
          <w:lang w:val="en-US" w:eastAsia="en-US" w:bidi="ar-SA"/>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CC53FE"/>
    <w:rsid w:val="0F587009"/>
    <w:rsid w:val="1D506859"/>
    <w:rsid w:val="3BAE4ACB"/>
    <w:rsid w:val="3FD339BE"/>
    <w:rsid w:val="46A20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footnote reference"/>
    <w:basedOn w:val="5"/>
    <w:qFormat/>
    <w:uiPriority w:val="0"/>
    <w:rPr>
      <w:vertAlign w:val="superscript"/>
    </w:rPr>
  </w:style>
  <w:style w:type="paragraph" w:customStyle="1" w:styleId="7">
    <w:name w:val="一级标题"/>
    <w:basedOn w:val="1"/>
    <w:next w:val="1"/>
    <w:qFormat/>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8">
    <w:name w:val="二级标题"/>
    <w:basedOn w:val="1"/>
    <w:qFormat/>
    <w:uiPriority w:val="0"/>
    <w:pPr>
      <w:spacing w:before="100" w:beforeLines="100" w:after="100" w:afterLines="100"/>
    </w:pPr>
    <w:rPr>
      <w:rFonts w:hint="eastAsia" w:ascii="宋体" w:hAnsi="宋体" w:cs="宋体"/>
      <w:b/>
      <w:bCs/>
      <w:color w:val="auto"/>
      <w:sz w:val="28"/>
      <w:szCs w:val="28"/>
    </w:rPr>
  </w:style>
  <w:style w:type="paragraph" w:customStyle="1" w:styleId="9">
    <w:name w:val="图/表注"/>
    <w:basedOn w:val="1"/>
    <w:qFormat/>
    <w:uiPriority w:val="0"/>
    <w:pPr>
      <w:widowControl/>
      <w:ind w:firstLine="480"/>
      <w:jc w:val="center"/>
    </w:pPr>
    <w:rPr>
      <w:rFonts w:ascii="Times New Roman" w:hAnsi="Times New Roman" w:eastAsia="宋体" w:cs="Times New Roman"/>
      <w:b/>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3355</Words>
  <Characters>4312</Characters>
  <Lines>0</Lines>
  <Paragraphs>0</Paragraphs>
  <TotalTime>0</TotalTime>
  <ScaleCrop>false</ScaleCrop>
  <LinksUpToDate>false</LinksUpToDate>
  <CharactersWithSpaces>4352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2026-07-21T14:28:00Z</dcterms:created>
  <dc:creator>29366</dc:creator>
  <cp:lastModifiedBy>WPS_1745382907</cp:lastModifiedBy>
  <dcterms:modified xsi:type="dcterms:W3CDTF">2026-07-22T00:59:32Z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eyJoZGlkIjoiMGI2MjU2OTI0MDI1ZDliNTNkYjNiNDk3NTBmYzkxYTYiLCJ1c2VySWQiOiIxNjk1NTQ5MjM3In0=</vt:lpwstr>
  </property>
  <property fmtid="{D5CDD505-2E9C-101B-9397-08002B2CF9AE}" pid="4" name="ICV">
    <vt:lpwstr>95B075CE51004AFC903E9B6A83066755_12</vt:lpwstr>
  </property>
</Properties>
</file>