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bidi w:val="0"/>
        <w:rPr>
          <w:rFonts w:hint="eastAsia"/>
          <w:lang w:val="en-US" w:eastAsia="zh-CN"/>
        </w:rPr>
      </w:pPr>
      <w:r>
        <w:rPr>
          <w:rFonts w:hint="eastAsia"/>
          <w:lang w:val="en-US" w:eastAsia="zh-CN"/>
        </w:rPr>
        <w:t>5.2收油工艺</w:t>
      </w:r>
    </w:p>
    <w:p>
      <w:pPr>
        <w:pStyle w:val="24"/>
        <w:bidi w:val="0"/>
        <w:rPr>
          <w:rFonts w:hint="default"/>
          <w:lang w:val="en-US" w:eastAsia="zh-CN"/>
        </w:rPr>
      </w:pPr>
      <w:r>
        <w:rPr>
          <w:rFonts w:hint="eastAsia"/>
          <w:lang w:val="en-US" w:eastAsia="zh-CN"/>
        </w:rPr>
        <w:t>5.2.1设计条件与工艺方案</w:t>
      </w:r>
    </w:p>
    <w:p>
      <w:pPr>
        <w:bidi w:val="0"/>
      </w:pPr>
      <w:r>
        <w:rPr>
          <w:rFonts w:hint="eastAsia"/>
          <w:lang w:eastAsia="zh-CN"/>
        </w:rPr>
        <w:t>本油库建设地点为广州市黄埔区广深公路主干道两旁，主要接收92号汽油、95号汽油和0号柴油。根据计划表表1及第3.1.2节，三种油品均采用管道进库，年进库量分别为28×10⁴t、15×10⁴t和24×10⁴t，年进库总量为67×10⁴t。油品火灾危险性分类执行现行《石油库设计规范》GB 50074—2014第3.0.3条，92号汽油和95号汽油按甲B类液体设计；0号柴油在常温收油且实际闭口闪点处于60～120℃时按丙A类液体设计，收油前应依据供货质量证明或检验结果核验。</w:t>
      </w:r>
    </w:p>
    <w:p>
      <w:pPr>
        <w:pStyle w:val="25"/>
        <w:bidi w:val="0"/>
        <w:jc w:val="center"/>
        <w:rPr>
          <w:rFonts w:hint="default" w:ascii="Times New Roman" w:hAnsi="Times New Roman" w:eastAsia="宋体" w:cs="Times New Roman"/>
          <w:szCs w:val="21"/>
        </w:rPr>
      </w:pPr>
      <w:r>
        <w:rPr>
          <w:rFonts w:hint="default"/>
        </w:rPr>
        <w:t>表5-1  收油工艺基础数据</w:t>
      </w:r>
    </w:p>
    <w:tbl>
      <w:tblPr>
        <w:tblStyle w:val="17"/>
        <w:tblW w:type="auto" w:w="0"/>
        <w:jc w:val="center"/>
        <w:tblLayout w:type="fixed"/>
        <w:tblLook w:firstColumn="1" w:firstRow="1" w:lastColumn="0" w:lastRow="0" w:noHBand="0" w:noVBand="1" w:val="04A0"/>
      </w:tblPr>
      <w:tblGrid>
        <w:gridCol w:w="1871"/>
        <w:gridCol w:w="1871"/>
        <w:gridCol w:w="1871"/>
        <w:gridCol w:w="1871"/>
        <w:gridCol w:w="1871"/>
      </w:tblGrid>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b/>
                <w:sz w:val="21"/>
              </w:rPr>
              <w:t>油品</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b/>
                <w:sz w:val="21"/>
              </w:rPr>
              <w:t>年进库量/（×10⁴t）</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b/>
                <w:sz w:val="21"/>
              </w:rPr>
              <w:t>进库方式及比例</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b/>
                <w:sz w:val="21"/>
              </w:rPr>
              <w:t>目标罐组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b/>
                <w:sz w:val="21"/>
              </w:rPr>
              <w:t>火灾危险性类别</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92号汽油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28</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92号汽油罐组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甲B类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95号汽油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15</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95号汽油罐组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甲B类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0号柴油</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24</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0号柴油罐组</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丙A类</w:t>
            </w:r>
          </w:p>
        </w:tc>
      </w:tr>
      <w:tr>
        <w:tc>
          <w:tcPr>
            <w:tcW w:type="dxa" w:w="1650"/>
            <w:vAlign w:val="center"/>
            <w:tcMar>
              <w:top w:w="90" w:type="dxa"/>
              <w:start w:w="90" w:type="dxa"/>
              <w:bottom w:w="90" w:type="dxa"/>
              <w:end w:w="90" w:type="dxa"/>
            </w:tcMar>
          </w:tcPr>
          <w:p>
            <w:pPr>
              <w:spacing w:before="0" w:after="0" w:line="288" w:lineRule="auto"/>
              <w:jc w:val="center"/>
            </w:pPr>
            <w:r>
              <w:rPr>
                <w:rFonts w:ascii="宋体" w:hAnsi="宋体" w:eastAsia="宋体"/>
                <w:sz w:val="21"/>
              </w:rPr>
              <w:t>合计</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67</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管道（100%）</w:t>
            </w:r>
          </w:p>
        </w:tc>
        <w:tc>
          <w:tcPr>
            <w:tcW w:type="dxa" w:w="1950"/>
            <w:vAlign w:val="center"/>
            <w:tcMar>
              <w:top w:w="90" w:type="dxa"/>
              <w:start w:w="90" w:type="dxa"/>
              <w:bottom w:w="90" w:type="dxa"/>
              <w:end w:w="90" w:type="dxa"/>
            </w:tcMar>
          </w:tcPr>
          <w:p>
            <w:pPr>
              <w:spacing w:before="0" w:after="0" w:line="288" w:lineRule="auto"/>
              <w:jc w:val="center"/>
            </w:pPr>
            <w:r>
              <w:rPr>
                <w:rFonts w:ascii="宋体" w:hAnsi="宋体" w:eastAsia="宋体"/>
                <w:sz w:val="21"/>
              </w:rPr>
              <w:t>—</w:t>
            </w:r>
          </w:p>
        </w:tc>
        <w:tc>
          <w:tcPr>
            <w:tcW w:type="dxa" w:w="1900"/>
            <w:vAlign w:val="center"/>
            <w:tcMar>
              <w:top w:w="90" w:type="dxa"/>
              <w:start w:w="90" w:type="dxa"/>
              <w:bottom w:w="90" w:type="dxa"/>
              <w:end w:w="90" w:type="dxa"/>
            </w:tcMar>
          </w:tcPr>
          <w:p>
            <w:pPr>
              <w:spacing w:before="0" w:after="0" w:line="288" w:lineRule="auto"/>
              <w:jc w:val="center"/>
            </w:pPr>
            <w:r>
              <w:rPr>
                <w:rFonts w:ascii="宋体" w:hAnsi="宋体" w:eastAsia="宋体"/>
                <w:sz w:val="21"/>
              </w:rPr>
              <w:t>—</w:t>
            </w:r>
          </w:p>
        </w:tc>
      </w:tr>
    </w:tbl>
    <w:p>
      <w:pPr>
        <w:bidi w:val="0"/>
      </w:pPr>
      <w:r>
        <w:rPr>
          <w:rFonts w:hint="eastAsia"/>
          <w:lang w:eastAsia="zh-CN"/>
        </w:rPr>
        <w:t>本设计采用“进库总管—收油计量站—分配阀组—分油品专用支管—目标储罐”的密闭收油方案。罐区收、发油管线相互独立，同一油品罐组内通过支管和切换阀选择接收储罐，符合指导书关于按油品性质和质量要求确定管线专用或分组共用、并采用双管系统提高作业灵活性的原则。</w:t>
      </w:r>
      <w:r>
        <w:rPr>
          <w:sz w:val="16"/>
          <w:vertAlign w:val="superscript"/>
        </w:rPr>
        <w:t>[15]</w:t>
      </w:r>
    </w:p>
    <w:p>
      <w:pPr>
        <w:bidi w:val="0"/>
      </w:pPr>
      <w:r>
        <w:rPr>
          <w:rFonts w:hint="eastAsia"/>
          <w:lang w:eastAsia="zh-CN"/>
        </w:rPr>
        <w:t>正常收油利用上游输油管道提供的输送压力，本阶段不另设常规收油泵。进库管径、设计流量和允许压力在第6章依据上游交接流量、允许连续收油时间、管路高程及沿程和局部阻力进行水力计算；计算结果不能满足储罐进口压力要求时，再设置增压设施。</w:t>
      </w:r>
    </w:p>
    <w:p>
      <w:pPr>
        <w:bidi w:val="0"/>
      </w:pPr>
      <w:r>
        <w:rPr>
          <w:rFonts w:hint="eastAsia"/>
          <w:lang w:eastAsia="zh-CN"/>
        </w:rPr>
        <w:t>与第4章总平面布置保持一致，进库接口设置在储油区所在生产地块的库界处，库内收油管线不跨越广深公路。若广深公路两侧均布置储罐，应分别设置库外管道接入点、计量边界和独立收油流程。</w:t>
      </w:r>
    </w:p>
    <w:p>
      <w:pPr>
        <w:pStyle w:val="24"/>
        <w:bidi w:val="0"/>
        <w:rPr>
          <w:rFonts w:hint="default"/>
          <w:lang w:val="en-US" w:eastAsia="zh-CN"/>
        </w:rPr>
      </w:pPr>
      <w:r>
        <w:rPr>
          <w:rFonts w:hint="eastAsia"/>
          <w:lang w:val="en-US" w:eastAsia="zh-CN"/>
        </w:rPr>
        <w:t>5.2.2收油工艺流程</w:t>
      </w:r>
    </w:p>
    <w:p>
      <w:pPr>
        <w:bidi w:val="0"/>
      </w:pPr>
      <w:r>
        <w:rPr>
          <w:rFonts w:hint="eastAsia"/>
          <w:lang w:eastAsia="zh-CN"/>
        </w:rPr>
        <w:t>收油主流程如下：</w:t>
      </w:r>
    </w:p>
    <w:p>
      <w:pPr>
        <w:bidi w:val="0"/>
        <w:jc w:val="center"/>
      </w:pPr>
      <w:r>
        <w:rPr>
          <w:rFonts w:hint="eastAsia"/>
          <w:lang w:eastAsia="zh-CN"/>
        </w:rPr>
        <w:t>库外上游输油管道→库界紧急切断阀→压力、温度测量→过滤设施→流量计量及自动取样→密度监测与界面识别→进库分配阀组→对应油品专用支管→储罐进口控制阀→目标储罐。</w:t>
      </w:r>
    </w:p>
    <w:p>
      <w:pPr>
        <w:bidi w:val="0"/>
      </w:pPr>
      <w:r>
        <w:rPr>
          <w:rFonts w:hint="eastAsia"/>
          <w:lang w:eastAsia="zh-CN"/>
        </w:rPr>
        <w:t>依据现行《储油库大气污染物排放标准》GB 20950—2020第4.1.4条，汽油采用管道收油时管道应保持密闭；本设计对0号柴油执行相同的密闭收油要求。因此，库界阀组、计量设施、取样设施和罐前阀组均采用密闭连接，取样及低点排液进入闭式回收设施，不就地排放。</w:t>
      </w:r>
    </w:p>
    <w:p>
      <w:pPr>
        <w:bidi w:val="0"/>
      </w:pPr>
      <w:r>
        <w:rPr>
          <w:rFonts w:hint="eastAsia"/>
          <w:lang w:eastAsia="zh-CN"/>
        </w:rPr>
        <w:t>92号汽油、95号汽油和0号柴油由分配阀组分别进入对应罐组，不同油品的罐前支管和阀门设置永久性名称、介质流向及状态标识。金属工艺管道之间及管道与管件之间采用焊接连接，管道与设备、阀门和仪表之间宜采用法兰连接，执行GB 50074—2014第9.1.9条；与储罐连接的管系设置必要的柔性补偿并控制管口受力，执行第9.1.10条。</w:t>
      </w:r>
    </w:p>
    <w:p>
      <w:pPr>
        <w:pStyle w:val="24"/>
        <w:bidi w:val="0"/>
        <w:rPr>
          <w:rFonts w:hint="default"/>
          <w:lang w:val="en-US" w:eastAsia="zh-CN"/>
        </w:rPr>
      </w:pPr>
      <w:r>
        <w:rPr>
          <w:rFonts w:hint="eastAsia"/>
          <w:lang w:val="en-US" w:eastAsia="zh-CN"/>
        </w:rPr>
        <w:t>5.2.3收油作业程序</w:t>
      </w:r>
    </w:p>
    <w:p>
      <w:pPr>
        <w:bidi w:val="0"/>
      </w:pPr>
      <w:r>
        <w:rPr>
          <w:rFonts w:hint="eastAsia"/>
          <w:lang w:eastAsia="zh-CN"/>
        </w:rPr>
        <w:t>（1）收油准备。核对上游输送计划、油品牌号、批次、预计数量和质量证明，确认目标储罐、备用储罐及混油接收流程。根据储罐液位、罐容表和安全液位计算可接收量，检查进口控制阀、分配阀、计量仪表、取样装置、泄压设施、通信和联锁状态；未完成流程确认不得收油。</w:t>
      </w:r>
    </w:p>
    <w:p>
      <w:pPr>
        <w:bidi w:val="0"/>
      </w:pPr>
      <w:r>
        <w:rPr>
          <w:rFonts w:hint="eastAsia"/>
          <w:lang w:eastAsia="zh-CN"/>
        </w:rPr>
        <w:t>（2）启动收油。先开启目标储罐进口流程，再与上游确认启输。初始阶段采用低流量运行，检查库界压力、过滤器压差、瞬时流量、密度、温度、阀位和储罐液位变化；参数稳定且流程无泄漏后，逐步提高至经水力计算确定的正常收油流量。</w:t>
      </w:r>
    </w:p>
    <w:p>
      <w:pPr>
        <w:bidi w:val="0"/>
      </w:pPr>
      <w:r>
        <w:rPr>
          <w:rFonts w:hint="eastAsia"/>
          <w:lang w:eastAsia="zh-CN"/>
        </w:rPr>
        <w:t>（3）正常收油。连续记录进口压力、瞬时流量、累计流量、油品温度、密度和储罐液位，并核对管道计量量与储罐收油量的变化趋势。操作人员定时巡检库界阀组、计量设施、管廊、罐前阀组和储罐进口管段，发现压力异常、流量突变、过滤器压差异常、阀位不一致或泄漏时，立即降低收油量并按联锁逻辑处置。</w:t>
      </w:r>
    </w:p>
    <w:p>
      <w:pPr>
        <w:bidi w:val="0"/>
      </w:pPr>
      <w:r>
        <w:rPr>
          <w:rFonts w:hint="eastAsia"/>
          <w:lang w:eastAsia="zh-CN"/>
        </w:rPr>
        <w:t>（4）切罐与结束。切换储罐时先确认备用储罐具备接收条件，按“先开后关”顺序完成同油品流程切换，避免形成封闭管段或瞬时中断。收油结束前由上游逐步降量，停止输送后关闭库界和罐前阀门，完成管线泄压、计量交接、储罐液位复核、取样检验和作业记录。</w:t>
      </w:r>
    </w:p>
    <w:p>
      <w:pPr>
        <w:pStyle w:val="24"/>
        <w:bidi w:val="0"/>
        <w:rPr>
          <w:rFonts w:hint="default"/>
          <w:lang w:val="en-US" w:eastAsia="zh-CN"/>
        </w:rPr>
      </w:pPr>
      <w:r>
        <w:rPr>
          <w:rFonts w:hint="eastAsia"/>
          <w:lang w:val="en-US" w:eastAsia="zh-CN"/>
        </w:rPr>
        <w:t>5.2.4界面油与不合格油处置</w:t>
      </w:r>
    </w:p>
    <w:p>
      <w:pPr>
        <w:bidi w:val="0"/>
      </w:pPr>
      <w:r>
        <w:rPr>
          <w:rFonts w:hint="eastAsia"/>
          <w:lang w:eastAsia="zh-CN"/>
        </w:rPr>
        <w:t>当上游管道分批输送不同牌号油品时，依据输送顺序、管道存油量、在线密度变化和分段取样结果判定界面。界面前的合格油品进入原目标储罐；界面段切入混油暂存流程；后续油品检验合格并确认阀位后，再切换至下一牌号储罐。</w:t>
      </w:r>
    </w:p>
    <w:p>
      <w:pPr>
        <w:bidi w:val="0"/>
      </w:pPr>
      <w:r>
        <w:rPr>
          <w:rFonts w:hint="eastAsia"/>
          <w:lang w:eastAsia="zh-CN"/>
        </w:rPr>
        <w:t>92号与95号汽油形成的界面油不得直接进入95号汽油合格罐；汽油与柴油形成的界面油不得进入任一合格成品油罐。界面油及检验不合格油品进入专用混油暂存设施，待化验确定性质后采用回掺、降级调和或外运处理。混油暂存设施有效容量按上游管道单批最大界面油量、切割裕量和检验滞后量确定，不在本节预设无依据的固定容积。</w:t>
      </w:r>
    </w:p>
    <w:p>
      <w:pPr>
        <w:pStyle w:val="24"/>
        <w:bidi w:val="0"/>
        <w:rPr>
          <w:rFonts w:hint="default"/>
          <w:lang w:val="en-US" w:eastAsia="zh-CN"/>
        </w:rPr>
      </w:pPr>
      <w:r>
        <w:rPr>
          <w:rFonts w:hint="eastAsia"/>
          <w:lang w:val="en-US" w:eastAsia="zh-CN"/>
        </w:rPr>
        <w:t>5.2.5自动控制与安全联锁</w:t>
      </w:r>
    </w:p>
    <w:p>
      <w:pPr>
        <w:bidi w:val="0"/>
      </w:pPr>
      <w:r>
        <w:rPr>
          <w:rFonts w:hint="eastAsia"/>
          <w:lang w:eastAsia="zh-CN"/>
        </w:rPr>
        <w:t>所有收油储罐均设置液位连续测量远传仪表及高、低液位报警，执行GB 50074—2014第15.1.1条。根据4.1节采用的年周转系数K=3a⁻¹，年周转次数不大于6次；其中单罐容量大于20000m³的甲B类汽油储罐按第15.1.2条第2款设置高高液位报警，并联锁关闭储罐进口管道控制阀。其余收油储罐统一设置高高液位报警及进口阀联锁，作为本项目防溢流控制措施。高高液位联锁信号采用独立液位测量仪表或液位开关，符合第15.1.4条。</w:t>
      </w:r>
    </w:p>
    <w:p>
      <w:pPr>
        <w:bidi w:val="0"/>
      </w:pPr>
      <w:r>
        <w:rPr>
          <w:rFonts w:hint="eastAsia"/>
          <w:lang w:eastAsia="zh-CN"/>
        </w:rPr>
        <w:t>本油库为一级石油库，重要控制阀除现场操作外，同时在控制室进行控制并显示状态，执行GB 50074—2014第15.1.7条。高高液位、库界压力高高、流量异常、阀位异常或可燃气体报警触发时，控制系统发出声光报警，并按“通知上游减量或停输—关闭储罐进口控制阀—关闭库界紧急切断阀”的顺序执行；控制阀关闭时间由水击计算确定，避免瞬时截断造成超压。</w:t>
      </w:r>
    </w:p>
    <w:p>
      <w:pPr>
        <w:bidi w:val="0"/>
      </w:pPr>
      <w:r>
        <w:rPr>
          <w:rFonts w:hint="eastAsia"/>
          <w:lang w:eastAsia="zh-CN"/>
        </w:rPr>
        <w:t>工艺管道阀门采用钢制阀门，电动或气动阀门具有手动操作功能；公称直径不大于600mm时，手动关闭时间不宜超过15min，大于600mm时不宜超过20min，数据来源为GB 50074—2014第9.1.12条。可能因阀门关闭、温升或上游压力波动超过设计压力的管段设置泄压装置，泄压油品返回进库系统或进入闭式回收设施，执行第9.1.13条。</w:t>
      </w:r>
    </w:p>
    <w:p>
      <w:pPr>
        <w:bidi w:val="0"/>
      </w:pPr>
      <w:r>
        <w:rPr>
          <w:rFonts w:hint="eastAsia"/>
          <w:lang w:eastAsia="zh-CN"/>
        </w:rPr>
        <w:t>一级石油库汽油计量站、阀门集中处和排水井等可能发生可燃气体泄漏和积聚的露天场所设置可燃气体检测器，执行GB 50074—2014第15.1.9条。地上或非充沙管沟敷设的工艺管道在始端、末端、分支处以及直线段每隔200～300m设置防静电和防雷击电磁脉冲接地装置，执行第14.3.10条。</w:t>
      </w:r>
    </w:p>
    <w:p>
      <w:pPr>
        <w:pStyle w:val="24"/>
        <w:bidi w:val="0"/>
        <w:rPr>
          <w:rFonts w:hint="default"/>
          <w:lang w:val="en-US" w:eastAsia="zh-CN"/>
        </w:rPr>
      </w:pPr>
      <w:r>
        <w:rPr>
          <w:rFonts w:hint="eastAsia"/>
          <w:lang w:val="en-US" w:eastAsia="zh-CN"/>
        </w:rPr>
        <w:t>本节引用参考文献</w:t>
      </w:r>
    </w:p>
    <w:p>
      <w:pPr>
        <w:bidi w:val="0"/>
        <w:ind w:firstLine="0"/>
      </w:pPr>
      <w:r>
        <w:rPr>
          <w:rFonts w:hint="eastAsia"/>
          <w:lang w:eastAsia="zh-CN"/>
        </w:rPr>
        <w:t>[15] 油库毕业设计指导书[Z]. 第五章“油库设计”：139-154.</w:t>
      </w:r>
    </w:p>
    <w:sectPr>
      <w:footerReference r:id="rId20" w:type="default"/>
      <w:footnotePr>
        <w:numFmt w:val="decimalEnclosedCircleChinese"/>
        <w:numRestart w:val="eachPage"/>
      </w:footnotePr>
      <w:pgSz w:w="11906" w:h="16838"/>
      <w:pgMar w:top="1701" w:right="1134" w:bottom="1417" w:left="1417" w:header="907" w:footer="850"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BAEE853-D1BF-479D-B762-5E8B328142AF}"/>
  </w:font>
  <w:font w:name="黑体">
    <w:panose1 w:val="02010609060101010101"/>
    <w:charset w:val="86"/>
    <w:family w:val="auto"/>
    <w:pitch w:val="default"/>
    <w:sig w:usb0="800002BF" w:usb1="38CF7CFA" w:usb2="00000016" w:usb3="00000000" w:csb0="00040001" w:csb1="00000000"/>
    <w:embedRegular r:id="rId2" w:fontKey="{3F5DB07D-C225-4A39-8D60-1247A422FF7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3" w:fontKey="{E47400D6-4596-4F8D-AD64-6E5F45263CBB}"/>
  </w:font>
  <w:font w:name="微软雅黑">
    <w:panose1 w:val="020B0503020204020204"/>
    <w:charset w:val="86"/>
    <w:family w:val="swiss"/>
    <w:pitch w:val="default"/>
    <w:sig w:usb0="80000287" w:usb1="2ACF3C50" w:usb2="00000016" w:usb3="00000000" w:csb0="0004001F" w:csb1="00000000"/>
    <w:embedRegular r:id="rId4" w:fontKey="{A2E44312-CBC6-46D7-8C51-9E7B1E1E1C60}"/>
  </w:font>
  <w:font w:name="楷体">
    <w:panose1 w:val="02010609060101010101"/>
    <w:charset w:val="86"/>
    <w:family w:val="modern"/>
    <w:pitch w:val="default"/>
    <w:sig w:usb0="800002BF" w:usb1="38CF7CFA" w:usb2="00000016" w:usb3="00000000" w:csb0="00040001" w:csb1="00000000"/>
    <w:embedRegular r:id="rId5" w:fontKey="{4C4C82D2-1926-47D7-ACCC-9F35875331EC}"/>
  </w:font>
  <w:font w:name="方正仿宋_GB2312">
    <w:panose1 w:val="02000000000000000000"/>
    <w:charset w:val="86"/>
    <w:family w:val="auto"/>
    <w:pitch w:val="default"/>
    <w:sig w:usb0="A00002BF" w:usb1="184F6CFA" w:usb2="00000012" w:usb3="00000000" w:csb0="00040001" w:csb1="00000000"/>
    <w:embedRegular r:id="rId6" w:fontKey="{410CE39B-B753-4194-A623-58C23FC49BD0}"/>
  </w:font>
  <w:font w:name="Cambria Math">
    <w:panose1 w:val="02040503050406030204"/>
    <w:charset w:val="00"/>
    <w:family w:val="auto"/>
    <w:pitch w:val="default"/>
    <w:sig w:usb0="E00006FF" w:usb1="420024FF" w:usb2="02000000" w:usb3="00000000" w:csb0="2000019F" w:csb1="00000000"/>
  </w:font>
  <w:font w:name="方正VDL哥特明朝 简 M">
    <w:panose1 w:val="020006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EEEBA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D9CFD5">
    <w:pPr>
      <w:pStyle w:val="8"/>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C961CC">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08C961CC">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38044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88A221">
    <w:pPr>
      <w:pStyle w:val="8"/>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97B4E7">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1397B4E7">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CB23C3">
    <w:pPr>
      <w:pStyle w:val="8"/>
      <w:rPr>
        <w:lang w:val="en-US"/>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F1882C">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0AF1882C">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611BC">
    <w:pPr>
      <w:pStyle w:val="8"/>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93C8D2">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7B93C8D2">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D53B96">
    <w:pPr>
      <w:pStyle w:val="8"/>
      <w:rPr>
        <w:lang w:val="en-US"/>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D35DFE8">
                          <w:pPr>
                            <w:pStyle w:val="8"/>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0D35DFE8">
                    <w:pPr>
                      <w:pStyle w:val="8"/>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586FFE">
    <w:pPr>
      <w:pStyle w:val="8"/>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A5EB55">
                          <w:pPr>
                            <w:pStyle w:val="8"/>
                          </w:pPr>
                          <w:r>
                            <w:fldChar w:fldCharType="begin"/>
                          </w:r>
                          <w:r>
                            <w:instrText xml:space="preserve"> PAGE  \* MERGEFORMAT </w:instrText>
                          </w:r>
                          <w:r>
                            <w:fldChar w:fldCharType="separate"/>
                          </w:r>
                          <w:r>
                            <w:t>- 2 -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2FA5EB55">
                    <w:pPr>
                      <w:pStyle w:val="8"/>
                    </w:pPr>
                    <w:r>
                      <w:fldChar w:fldCharType="begin"/>
                    </w:r>
                    <w:r>
                      <w:instrText xml:space="preserve"> PAGE  \* MERGEFORMAT </w:instrText>
                    </w:r>
                    <w:r>
                      <w:fldChar w:fldCharType="separate"/>
                    </w:r>
                    <w:r>
                      <w:t>- 2 -</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FEB97C">
    <w:pPr>
      <w:pStyle w:val="8"/>
      <w:rPr>
        <w:lang w:val="en-US"/>
      </w:rPr>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C421FF8">
                          <w:pPr>
                            <w:pStyle w:val="8"/>
                          </w:pPr>
                          <w:r>
                            <w:fldChar w:fldCharType="begin"/>
                          </w:r>
                          <w:r>
                            <w:instrText xml:space="preserve"> PAGE  \* MERGEFORMAT </w:instrText>
                          </w:r>
                          <w:r>
                            <w:fldChar w:fldCharType="separate"/>
                          </w:r>
                          <w:r>
                            <w:t>- 34 -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7C421FF8">
                    <w:pPr>
                      <w:pStyle w:val="8"/>
                    </w:pPr>
                    <w:r>
                      <w:fldChar w:fldCharType="begin"/>
                    </w:r>
                    <w:r>
                      <w:instrText xml:space="preserve"> PAGE  \* MERGEFORMAT </w:instrText>
                    </w:r>
                    <w:r>
                      <w:fldChar w:fldCharType="separate"/>
                    </w:r>
                    <w:r>
                      <w:t>- 34 -</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CF60DE">
    <w:pPr>
      <w:pStyle w:val="8"/>
    </w:pPr>
    <w:r>
      <w:rPr>
        <w:sz w:val="18"/>
      </w:rPr>
      <mc:AlternateContent>
        <mc:Choice Requires="wps">
          <w:drawing>
            <wp:anchor distT="0" distB="0" distL="114300" distR="114300" simplePos="0" relativeHeight="251662336" behindDoc="0" locked="0" layoutInCell="1" allowOverlap="1">
              <wp:simplePos x="0" y="0"/>
              <wp:positionH relativeFrom="margin">
                <wp:align>left</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4ls4kzAgAAY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OlhX76vuAjrP&#10;srDVD5bHNFFIb1eHADGTxlGgTpVeN/ReqlI/J7G5/9ynqKd/w/IR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4ls4kzAgAAYwQAAA4AAAAAAAAAAQAgAAAAHwEAAGRycy9lMm9Eb2MueG1sUEsF&#10;BgAAAAAGAAYAWQEAAMQFAAAAAA==&#10;">
              <v:fill on="f" focussize="0,0"/>
              <v:stroke on="f" weight="0.5pt"/>
              <v:imagedata o:title=""/>
              <o:lock v:ext="edit" aspectratio="f"/>
              <v:textbox inset="0mm,0mm,0mm,0mm" style="mso-fit-shape-to-text:t;">
                <w:txbxContent>
                  <w:p w14:paraId="1ED8DC03">
                    <w:pPr>
                      <w:pStyle w:val="8"/>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- 1 -</w:t>
                    </w:r>
                    <w:r>
                      <w:rPr>
                        <w:rFonts w:hint="eastAsia" w:ascii="宋体" w:hAnsi="宋体" w:eastAsia="宋体" w:cs="宋体"/>
                        <w:sz w:val="28"/>
                        <w:szCs w:val="28"/>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60208">
    <w:pPr>
      <w:pStyle w:val="8"/>
      <w:rPr>
        <w:lang w:val="en-US"/>
      </w:rPr>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91B44F">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kk7QUz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kk7QUzAgAAYwQAAA4AAAAAAAAAAQAgAAAAHwEAAGRycy9lMm9Eb2MueG1sUEsF&#10;BgAAAAAGAAYAWQEAAMQFAAAAAA==&#10;">
              <v:fill on="f" focussize="0,0"/>
              <v:stroke on="f" weight="0.5pt"/>
              <v:imagedata o:title=""/>
              <o:lock v:ext="edit" aspectratio="f"/>
              <v:textbox inset="0mm,0mm,0mm,0mm" style="mso-fit-shape-to-text:t;">
                <w:txbxContent>
                  <w:p w14:paraId="4291B44F">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1C207">
    <w:pPr>
      <w:pStyle w:val="8"/>
      <w:rPr>
        <w:lang w:val="en-US"/>
      </w:rPr>
    </w:pPr>
    <w:r>
      <w:rPr>
        <w:sz w:val="18"/>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908320">
                          <w:pPr>
                            <w:pStyle w:val="8"/>
                          </w:pPr>
                          <w:r>
                            <w:fldChar w:fldCharType="begin"/>
                          </w:r>
                          <w:r>
                            <w:instrText xml:space="preserve"> PAGE  \* MERGEFORMAT </w:instrText>
                          </w:r>
                          <w:r>
                            <w:fldChar w:fldCharType="separate"/>
                          </w:r>
                          <w:r>
                            <w:t>- 5 -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50908320">
                    <w:pPr>
                      <w:pStyle w:val="8"/>
                    </w:pPr>
                    <w:r>
                      <w:fldChar w:fldCharType="begin"/>
                    </w:r>
                    <w:r>
                      <w:instrText xml:space="preserve"> PAGE  \* MERGEFORMAT </w:instrText>
                    </w:r>
                    <w:r>
                      <w:fldChar w:fldCharType="separate"/>
                    </w:r>
                    <w:r>
                      <w:t>- 5 -</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4">
    <w:p>
      <w:pPr>
        <w:spacing w:line="360" w:lineRule="auto"/>
        <w:ind w:firstLine="480"/>
      </w:pPr>
      <w:r>
        <w:separator/>
      </w:r>
    </w:p>
  </w:footnote>
  <w:footnote w:type="continuationSeparator" w:id="15">
    <w:p>
      <w:pPr>
        <w:spacing w:line="360" w:lineRule="auto"/>
        <w:ind w:firstLine="480"/>
      </w:pPr>
      <w:r>
        <w:continuationSeparator/>
      </w:r>
    </w:p>
  </w:footnote>
  <w:footnote w:id="0">
    <w:p w14:paraId="78EEF03C">
      <w:pPr>
        <w:spacing w:before="0" w:after="0" w:line="360" w:lineRule="auto"/>
        <w:ind w:firstLine="0"/>
        <w:jc w:val="both"/>
        <w:rPr>
          <w:rFonts w:hint="eastAsia" w:eastAsia="宋体"/>
          <w:lang w:val="en-US" w:eastAsia="zh-CN"/>
        </w:rPr>
      </w:pPr>
      <w:r>
        <w:rPr>
          <w:rStyle w:val="20"/>
          <w:sz w:val="18"/>
          <w:szCs w:val="18"/>
        </w:rPr>
        <w:footnoteRef/>
      </w:r>
      <w:r>
        <w:rPr>
          <w:rFonts w:hint="default"/>
          <w:sz w:val="18"/>
          <w:szCs w:val="18"/>
          <w:lang w:val="en-US"/>
        </w:rPr>
        <w:fldChar w:fldCharType="begin"/>
      </w:r>
      <w:r>
        <w:rPr>
          <w:rFonts w:hint="default"/>
          <w:sz w:val="18"/>
          <w:szCs w:val="18"/>
          <w:lang w:val="en-US"/>
        </w:rPr>
        <w:instrText xml:space="preserve"> REF _Ref32068 \h </w:instrText>
      </w:r>
      <w:r>
        <w:rPr>
          <w:rFonts w:hint="default"/>
          <w:sz w:val="18"/>
          <w:szCs w:val="18"/>
          <w:lang w:val="en-US"/>
        </w:rPr>
        <w:fldChar w:fldCharType="separate"/>
      </w:r>
      <w:r>
        <w:t>油库毕业设计指导书[Z]. 第五章“油库设计”：139-154.</w:t>
      </w:r>
      <w:r>
        <w:rPr>
          <w:rFonts w:hint="default"/>
          <w:sz w:val="18"/>
          <w:szCs w:val="18"/>
          <w:lang w:val="en-US"/>
        </w:rPr>
        <w:fldChar w:fldCharType="end"/>
      </w:r>
    </w:p>
  </w:footnote>
  <w:footnote w:id="1">
    <w:p w14:paraId="7F5918F3">
      <w:pPr>
        <w:spacing w:after="0" w:line="240" w:lineRule="auto"/>
      </w:pPr>
    </w:p>
  </w:footnote>
  <w:footnote w:id="2">
    <w:p w14:paraId="69DC2B88">
      <w:pPr>
        <w:pStyle w:val="30"/>
        <w:rPr>
          <w:sz w:val="18"/>
          <w:szCs w:val="18"/>
        </w:rPr>
      </w:pPr>
      <w:r>
        <w:rPr>
          <w:sz w:val="18"/>
          <w:szCs w:val="18"/>
          <w:vertAlign w:val="superscript"/>
        </w:rPr>
        <w:footnoteRef/>
      </w:r>
      <w:r>
        <w:rPr>
          <w:rFonts w:ascii="宋体" w:hAnsi="宋体" w:eastAsia="宋体"/>
          <w:sz w:val="18"/>
          <w:szCs w:val="18"/>
        </w:rPr>
        <w:t xml:space="preserve">  周丽君. 成品油库总图布局的注意要点分析[J]. 中国资源综合利用, 2021, 39(7): 56-58.</w:t>
      </w:r>
    </w:p>
  </w:footnote>
  <w:footnote w:id="3">
    <w:p w14:paraId="7D6459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281-283.</w:t>
      </w:r>
    </w:p>
  </w:footnote>
  <w:footnote w:id="4">
    <w:p w14:paraId="59D7037E">
      <w:pPr>
        <w:pStyle w:val="30"/>
        <w:rPr>
          <w:sz w:val="18"/>
          <w:szCs w:val="18"/>
        </w:rPr>
      </w:pPr>
      <w:r>
        <w:rPr>
          <w:sz w:val="18"/>
          <w:szCs w:val="18"/>
          <w:vertAlign w:val="superscript"/>
        </w:rPr>
        <w:footnoteRef/>
      </w:r>
      <w:r>
        <w:rPr>
          <w:rFonts w:ascii="宋体" w:hAnsi="宋体" w:eastAsia="宋体"/>
          <w:sz w:val="18"/>
          <w:szCs w:val="18"/>
        </w:rPr>
        <w:t xml:space="preserve">  GB 50074—2014《石油库设计规范》第9.2节规定: 连续输送同一种液体的泵, 同时操作的泵不多于3台时宜设1台备用泵, 多于3台时备用泵不宜多于2台.</w:t>
      </w:r>
    </w:p>
  </w:footnote>
  <w:footnote w:id="5">
    <w:p w14:paraId="5A506E5E">
      <w:pPr>
        <w:pStyle w:val="30"/>
        <w:rPr>
          <w:sz w:val="18"/>
          <w:szCs w:val="18"/>
        </w:rPr>
      </w:pPr>
      <w:r>
        <w:rPr>
          <w:sz w:val="18"/>
          <w:szCs w:val="18"/>
          <w:vertAlign w:val="superscript"/>
        </w:rPr>
        <w:footnoteRef/>
      </w:r>
      <w:r>
        <w:rPr>
          <w:rFonts w:ascii="宋体" w:hAnsi="宋体" w:eastAsia="宋体"/>
          <w:sz w:val="18"/>
          <w:szCs w:val="18"/>
        </w:rPr>
        <w:t xml:space="preserve">  油库毕业设计指导书[Z]. 第五章"油库设计", 第156页.</w:t>
      </w:r>
    </w:p>
  </w:footnote>
  <w:footnote w:id="6">
    <w:p w14:paraId="40E85E95">
      <w:pPr>
        <w:pStyle w:val="30"/>
        <w:rPr>
          <w:sz w:val="18"/>
          <w:szCs w:val="18"/>
        </w:rPr>
      </w:pPr>
      <w:r>
        <w:rPr>
          <w:sz w:val="18"/>
          <w:szCs w:val="18"/>
          <w:vertAlign w:val="superscript"/>
        </w:rPr>
        <w:footnoteRef/>
      </w:r>
      <w:r>
        <w:rPr>
          <w:rFonts w:ascii="宋体" w:hAnsi="宋体" w:eastAsia="宋体"/>
          <w:sz w:val="18"/>
          <w:szCs w:val="18"/>
        </w:rPr>
        <w:t xml:space="preserve">  邢科伟, 马秀让, 刘占卿. 油库加油站设计数据图表手册[M]. 北京: 中国石化出版社, 2015: 283-284.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D969C9">
    <w:pPr>
      <w:pStyle w:val="9"/>
      <w:jc w:val="center"/>
      <w:rPr>
        <w:rFonts w:hint="eastAsia" w:ascii="宋体" w:hAnsi="宋体" w:eastAsia="宋体" w:cs="宋体"/>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BE3F8">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C2EF9">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w:t>
    </w:r>
    <w:r>
      <w:rPr>
        <w:rFonts w:hint="eastAsia" w:ascii="宋体" w:hAnsi="宋体" w:cs="宋体"/>
        <w:lang w:val="en-US" w:eastAsia="zh-CN"/>
      </w:rPr>
      <w:t>7</w:t>
    </w:r>
    <w:r>
      <w:rPr>
        <w:rFonts w:hint="eastAsia" w:ascii="宋体" w:hAnsi="宋体" w:eastAsia="宋体" w:cs="宋体"/>
        <w:lang w:val="en-US" w:eastAsia="zh-CN"/>
      </w:rPr>
      <w:t>届本科生毕业设计</w:t>
    </w:r>
  </w:p>
  <w:p w14:paraId="2DF545AB">
    <w:pPr>
      <w:pStyle w:val="9"/>
      <w:rPr>
        <w:rFonts w:hint="eastAsia"/>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7DCCD">
    <w:pPr>
      <w:pStyle w:val="9"/>
      <w:pBdr>
        <w:bottom w:val="single" w:color="auto" w:sz="4" w:space="1"/>
      </w:pBdr>
      <w:jc w:val="center"/>
      <w:rPr>
        <w:rFonts w:hint="eastAsia" w:ascii="宋体" w:hAnsi="宋体" w:eastAsia="宋体" w:cs="宋体"/>
        <w:lang w:val="en-US" w:eastAsia="zh-CN"/>
      </w:rPr>
    </w:pPr>
    <w:r>
      <w:rPr>
        <w:rFonts w:hint="eastAsia" w:ascii="宋体" w:hAnsi="宋体" w:eastAsia="宋体" w:cs="宋体"/>
        <w:lang w:val="en-US" w:eastAsia="zh-CN"/>
      </w:rPr>
      <w:t>泉州职业技术大学2026届本科生毕业设计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D64523"/>
    <w:multiLevelType w:val="singleLevel"/>
    <w:tmpl w:val="EBD64523"/>
    <w:lvl w:ilvl="0" w:tentative="0">
      <w:start w:val="1"/>
      <w:numFmt w:val="decimal"/>
      <w:lvlText w:val="[%1]"/>
      <w:lvlJc w:val="left"/>
      <w:pPr>
        <w:tabs>
          <w:tab w:val="left" w:pos="420"/>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 w:id="14"/>
    <w:footnote w:id="1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VkZDRjNjE4MTk3ODRlMjI0Nzg5MjhmMGEwNmJlZDMifQ=="/>
  </w:docVars>
  <w:rsids>
    <w:rsidRoot w:val="103941EB"/>
    <w:rsid w:val="002B06D1"/>
    <w:rsid w:val="00527BED"/>
    <w:rsid w:val="00824069"/>
    <w:rsid w:val="009E70F5"/>
    <w:rsid w:val="00DE7B1F"/>
    <w:rsid w:val="023169E5"/>
    <w:rsid w:val="02DE47A8"/>
    <w:rsid w:val="04954A53"/>
    <w:rsid w:val="05060B06"/>
    <w:rsid w:val="052B4CCF"/>
    <w:rsid w:val="05F92040"/>
    <w:rsid w:val="067A38E7"/>
    <w:rsid w:val="0691317E"/>
    <w:rsid w:val="077010BF"/>
    <w:rsid w:val="07B215FB"/>
    <w:rsid w:val="08072462"/>
    <w:rsid w:val="08294AF7"/>
    <w:rsid w:val="085D1690"/>
    <w:rsid w:val="087A4E0A"/>
    <w:rsid w:val="08DC43FA"/>
    <w:rsid w:val="08F203BB"/>
    <w:rsid w:val="090F115B"/>
    <w:rsid w:val="098A7634"/>
    <w:rsid w:val="09D122E9"/>
    <w:rsid w:val="09E74FFF"/>
    <w:rsid w:val="09F9288F"/>
    <w:rsid w:val="0A187F18"/>
    <w:rsid w:val="0A407D85"/>
    <w:rsid w:val="0AA92B28"/>
    <w:rsid w:val="0BB37B36"/>
    <w:rsid w:val="0C47587E"/>
    <w:rsid w:val="0C616DDD"/>
    <w:rsid w:val="0C857F09"/>
    <w:rsid w:val="0D9074CF"/>
    <w:rsid w:val="0DD904BC"/>
    <w:rsid w:val="0E77482B"/>
    <w:rsid w:val="0F274759"/>
    <w:rsid w:val="0F501F02"/>
    <w:rsid w:val="103941EB"/>
    <w:rsid w:val="106E1F77"/>
    <w:rsid w:val="11A92B9B"/>
    <w:rsid w:val="11FA6155"/>
    <w:rsid w:val="122375E8"/>
    <w:rsid w:val="123A5D65"/>
    <w:rsid w:val="12804E04"/>
    <w:rsid w:val="12865C3B"/>
    <w:rsid w:val="12EF71BC"/>
    <w:rsid w:val="1381490C"/>
    <w:rsid w:val="14740A1C"/>
    <w:rsid w:val="14D81D91"/>
    <w:rsid w:val="151439D2"/>
    <w:rsid w:val="1594152E"/>
    <w:rsid w:val="15C76E63"/>
    <w:rsid w:val="1646419B"/>
    <w:rsid w:val="167B1172"/>
    <w:rsid w:val="16BF21A1"/>
    <w:rsid w:val="171E2B79"/>
    <w:rsid w:val="17C90A93"/>
    <w:rsid w:val="17D50129"/>
    <w:rsid w:val="183F23B9"/>
    <w:rsid w:val="1A5B334B"/>
    <w:rsid w:val="1A626F8D"/>
    <w:rsid w:val="1ADC1279"/>
    <w:rsid w:val="1AEB73B7"/>
    <w:rsid w:val="1B097409"/>
    <w:rsid w:val="1B843C3F"/>
    <w:rsid w:val="1BB82AAA"/>
    <w:rsid w:val="1CAA7AEA"/>
    <w:rsid w:val="1CC22A0B"/>
    <w:rsid w:val="1CEF63EF"/>
    <w:rsid w:val="1D8D60CF"/>
    <w:rsid w:val="1D9F56A6"/>
    <w:rsid w:val="1DC35F95"/>
    <w:rsid w:val="1E287B89"/>
    <w:rsid w:val="1E2C156D"/>
    <w:rsid w:val="1E8F2A30"/>
    <w:rsid w:val="1F144C76"/>
    <w:rsid w:val="1F2F43ED"/>
    <w:rsid w:val="1FE30BF5"/>
    <w:rsid w:val="2039253E"/>
    <w:rsid w:val="20554782"/>
    <w:rsid w:val="206D09F2"/>
    <w:rsid w:val="21754D72"/>
    <w:rsid w:val="21932171"/>
    <w:rsid w:val="22F7746D"/>
    <w:rsid w:val="230D5C1C"/>
    <w:rsid w:val="2499461A"/>
    <w:rsid w:val="250848CE"/>
    <w:rsid w:val="250D55E9"/>
    <w:rsid w:val="251C1370"/>
    <w:rsid w:val="25B272E5"/>
    <w:rsid w:val="25B52667"/>
    <w:rsid w:val="26DA5E4E"/>
    <w:rsid w:val="26F469F8"/>
    <w:rsid w:val="27294DCB"/>
    <w:rsid w:val="273759F0"/>
    <w:rsid w:val="27A36AF4"/>
    <w:rsid w:val="27C022AD"/>
    <w:rsid w:val="27D330A9"/>
    <w:rsid w:val="27D80371"/>
    <w:rsid w:val="27DB07F1"/>
    <w:rsid w:val="28187A54"/>
    <w:rsid w:val="282F658A"/>
    <w:rsid w:val="2919115F"/>
    <w:rsid w:val="294D3731"/>
    <w:rsid w:val="296F5223"/>
    <w:rsid w:val="29FC2134"/>
    <w:rsid w:val="2AF4310E"/>
    <w:rsid w:val="2B0C42A3"/>
    <w:rsid w:val="2B6A5B38"/>
    <w:rsid w:val="2B7037B2"/>
    <w:rsid w:val="2B7938DE"/>
    <w:rsid w:val="2B9339F3"/>
    <w:rsid w:val="2C41519A"/>
    <w:rsid w:val="2D3B6DC2"/>
    <w:rsid w:val="2D8D11DF"/>
    <w:rsid w:val="2DD82143"/>
    <w:rsid w:val="2E003569"/>
    <w:rsid w:val="2E78370C"/>
    <w:rsid w:val="2EE06A9A"/>
    <w:rsid w:val="2F5B347D"/>
    <w:rsid w:val="30E00000"/>
    <w:rsid w:val="31520047"/>
    <w:rsid w:val="31B349CA"/>
    <w:rsid w:val="32051488"/>
    <w:rsid w:val="328E1E33"/>
    <w:rsid w:val="329675A4"/>
    <w:rsid w:val="32A724AC"/>
    <w:rsid w:val="33245EFE"/>
    <w:rsid w:val="33D910EF"/>
    <w:rsid w:val="345117AD"/>
    <w:rsid w:val="35BA34DA"/>
    <w:rsid w:val="35D0405D"/>
    <w:rsid w:val="35DF02EF"/>
    <w:rsid w:val="366A124C"/>
    <w:rsid w:val="36BA2868"/>
    <w:rsid w:val="3765585A"/>
    <w:rsid w:val="37B1595C"/>
    <w:rsid w:val="37E61084"/>
    <w:rsid w:val="37F8706F"/>
    <w:rsid w:val="380421F3"/>
    <w:rsid w:val="381A58BA"/>
    <w:rsid w:val="38223E1B"/>
    <w:rsid w:val="39D77B70"/>
    <w:rsid w:val="39E362DD"/>
    <w:rsid w:val="3A087445"/>
    <w:rsid w:val="3AD722D6"/>
    <w:rsid w:val="3AEC76B8"/>
    <w:rsid w:val="3B6756EF"/>
    <w:rsid w:val="3BA15C6B"/>
    <w:rsid w:val="3BED280B"/>
    <w:rsid w:val="3C0417FB"/>
    <w:rsid w:val="3C47643C"/>
    <w:rsid w:val="3CF17FD1"/>
    <w:rsid w:val="3D22228B"/>
    <w:rsid w:val="3D6A6963"/>
    <w:rsid w:val="3D9E74C8"/>
    <w:rsid w:val="3ED53549"/>
    <w:rsid w:val="3F21134E"/>
    <w:rsid w:val="3FA41FF6"/>
    <w:rsid w:val="4091157D"/>
    <w:rsid w:val="419E1DAA"/>
    <w:rsid w:val="421A7D7F"/>
    <w:rsid w:val="428761B5"/>
    <w:rsid w:val="43641F1E"/>
    <w:rsid w:val="436F0772"/>
    <w:rsid w:val="450A19D1"/>
    <w:rsid w:val="45300531"/>
    <w:rsid w:val="4594234D"/>
    <w:rsid w:val="47A41215"/>
    <w:rsid w:val="47AA1CA0"/>
    <w:rsid w:val="47CF53B3"/>
    <w:rsid w:val="47D01EDF"/>
    <w:rsid w:val="481A7F92"/>
    <w:rsid w:val="49705E68"/>
    <w:rsid w:val="4AB952D9"/>
    <w:rsid w:val="4AF67549"/>
    <w:rsid w:val="4B074D0A"/>
    <w:rsid w:val="4CF36A7B"/>
    <w:rsid w:val="4CF51418"/>
    <w:rsid w:val="4D06246C"/>
    <w:rsid w:val="4D21521F"/>
    <w:rsid w:val="4D3B4EC4"/>
    <w:rsid w:val="4D6D5452"/>
    <w:rsid w:val="4DA335EF"/>
    <w:rsid w:val="4E2D705C"/>
    <w:rsid w:val="4E983EB6"/>
    <w:rsid w:val="4FB54E8E"/>
    <w:rsid w:val="50380D80"/>
    <w:rsid w:val="505B00AD"/>
    <w:rsid w:val="50A6165E"/>
    <w:rsid w:val="50EF74D3"/>
    <w:rsid w:val="5139664E"/>
    <w:rsid w:val="51BD2EC4"/>
    <w:rsid w:val="5203159A"/>
    <w:rsid w:val="52BD6DD9"/>
    <w:rsid w:val="53402FC3"/>
    <w:rsid w:val="541C1C0A"/>
    <w:rsid w:val="54262873"/>
    <w:rsid w:val="55190B9F"/>
    <w:rsid w:val="558F6181"/>
    <w:rsid w:val="566A46EF"/>
    <w:rsid w:val="56C33047"/>
    <w:rsid w:val="570F409A"/>
    <w:rsid w:val="578C7028"/>
    <w:rsid w:val="589B3CED"/>
    <w:rsid w:val="598D671F"/>
    <w:rsid w:val="5A727671"/>
    <w:rsid w:val="5A8A5E5E"/>
    <w:rsid w:val="5AF9037D"/>
    <w:rsid w:val="5B1277B8"/>
    <w:rsid w:val="5C205D85"/>
    <w:rsid w:val="5C3F1B9C"/>
    <w:rsid w:val="5CA34AF9"/>
    <w:rsid w:val="5D1D6D54"/>
    <w:rsid w:val="5D542564"/>
    <w:rsid w:val="5D5F468B"/>
    <w:rsid w:val="5DD2630F"/>
    <w:rsid w:val="5EB629D1"/>
    <w:rsid w:val="5EFC04E3"/>
    <w:rsid w:val="5F726336"/>
    <w:rsid w:val="61F2727D"/>
    <w:rsid w:val="62141EE8"/>
    <w:rsid w:val="62327ECA"/>
    <w:rsid w:val="62C13CDC"/>
    <w:rsid w:val="6361115D"/>
    <w:rsid w:val="642A5BE2"/>
    <w:rsid w:val="645110EF"/>
    <w:rsid w:val="64FD6C64"/>
    <w:rsid w:val="65302F12"/>
    <w:rsid w:val="655979B3"/>
    <w:rsid w:val="664B26DE"/>
    <w:rsid w:val="665E5472"/>
    <w:rsid w:val="66B617C0"/>
    <w:rsid w:val="67CD0024"/>
    <w:rsid w:val="68235EE5"/>
    <w:rsid w:val="68B473FF"/>
    <w:rsid w:val="695C12C6"/>
    <w:rsid w:val="6A892DFE"/>
    <w:rsid w:val="6ADD7165"/>
    <w:rsid w:val="6AE352CC"/>
    <w:rsid w:val="6AE63A26"/>
    <w:rsid w:val="6AFA607C"/>
    <w:rsid w:val="6B010AEC"/>
    <w:rsid w:val="6B695F28"/>
    <w:rsid w:val="6C2660DD"/>
    <w:rsid w:val="6C523D39"/>
    <w:rsid w:val="6C5A7F9E"/>
    <w:rsid w:val="6C83566E"/>
    <w:rsid w:val="6CEF1588"/>
    <w:rsid w:val="6CFC7A9E"/>
    <w:rsid w:val="6D374CDD"/>
    <w:rsid w:val="6DCF5FA6"/>
    <w:rsid w:val="6E433F5B"/>
    <w:rsid w:val="6E4A5C33"/>
    <w:rsid w:val="6EC0117B"/>
    <w:rsid w:val="6F5E33C9"/>
    <w:rsid w:val="70486052"/>
    <w:rsid w:val="70A64653"/>
    <w:rsid w:val="719E357C"/>
    <w:rsid w:val="71BF47BE"/>
    <w:rsid w:val="726E09B6"/>
    <w:rsid w:val="72895FDA"/>
    <w:rsid w:val="72A359D6"/>
    <w:rsid w:val="732217E1"/>
    <w:rsid w:val="73A250DB"/>
    <w:rsid w:val="73C4187C"/>
    <w:rsid w:val="74292673"/>
    <w:rsid w:val="744F39DE"/>
    <w:rsid w:val="74624195"/>
    <w:rsid w:val="74A71E6F"/>
    <w:rsid w:val="750F77FD"/>
    <w:rsid w:val="753C2362"/>
    <w:rsid w:val="75A37CC5"/>
    <w:rsid w:val="75F220E9"/>
    <w:rsid w:val="763F1C89"/>
    <w:rsid w:val="76CD4696"/>
    <w:rsid w:val="76E462F3"/>
    <w:rsid w:val="77420E4E"/>
    <w:rsid w:val="774D3FF7"/>
    <w:rsid w:val="7778770E"/>
    <w:rsid w:val="7B1D660B"/>
    <w:rsid w:val="7B2E209D"/>
    <w:rsid w:val="7B4C493D"/>
    <w:rsid w:val="7CDF3F7D"/>
    <w:rsid w:val="7D204AD7"/>
    <w:rsid w:val="7D777A3E"/>
    <w:rsid w:val="7D990F20"/>
    <w:rsid w:val="7E4967CC"/>
    <w:rsid w:val="7E4A6747"/>
    <w:rsid w:val="7ED71E7C"/>
    <w:rsid w:val="7EF221E3"/>
    <w:rsid w:val="7FA67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ind w:firstLine="723"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link w:val="32"/>
    <w:qFormat/>
    <w:uiPriority w:val="1"/>
    <w:pPr>
      <w:spacing w:before="100" w:beforeLines="100" w:after="100" w:afterLines="100" w:line="360" w:lineRule="auto"/>
      <w:ind w:left="760"/>
      <w:jc w:val="center"/>
      <w:outlineLvl w:val="0"/>
    </w:pPr>
    <w:rPr>
      <w:rFonts w:eastAsia="黑体"/>
      <w:b/>
      <w:bCs/>
      <w:sz w:val="32"/>
      <w:szCs w:val="32"/>
    </w:rPr>
  </w:style>
  <w:style w:type="paragraph" w:styleId="3">
    <w:name w:val="heading 2"/>
    <w:basedOn w:val="1"/>
    <w:next w:val="1"/>
    <w:unhideWhenUsed/>
    <w:qFormat/>
    <w:uiPriority w:val="0"/>
    <w:pPr>
      <w:keepNext/>
      <w:keepLines/>
      <w:spacing w:before="100" w:beforeLines="100" w:beforeAutospacing="0" w:after="100" w:afterLines="100" w:afterAutospacing="0" w:line="360" w:lineRule="auto"/>
      <w:ind w:firstLine="723" w:firstLineChars="200"/>
      <w:outlineLvl w:val="1"/>
    </w:pPr>
    <w:rPr>
      <w:rFonts w:ascii="Arial" w:hAnsi="Arial"/>
      <w:b/>
      <w:sz w:val="28"/>
    </w:rPr>
  </w:style>
  <w:style w:type="paragraph" w:styleId="4">
    <w:name w:val="heading 3"/>
    <w:basedOn w:val="1"/>
    <w:next w:val="1"/>
    <w:unhideWhenUsed/>
    <w:qFormat/>
    <w:uiPriority w:val="0"/>
    <w:pPr>
      <w:keepNext/>
      <w:keepLines/>
      <w:spacing w:beforeLines="0" w:beforeAutospacing="0" w:afterLines="0" w:afterAutospacing="0" w:line="360" w:lineRule="auto"/>
      <w:ind w:firstLine="723" w:firstLineChars="200"/>
      <w:outlineLvl w:val="2"/>
    </w:pPr>
    <w:rPr>
      <w:rFonts w:eastAsia="宋体" w:asciiTheme="minorAscii" w:hAnsiTheme="minorAscii"/>
      <w:b/>
      <w:sz w:val="24"/>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8">
    <w:name w:val="Default Paragraph Font"/>
    <w:autoRedefine/>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6">
    <w:name w:val="Body Text"/>
    <w:basedOn w:val="1"/>
    <w:link w:val="31"/>
    <w:qFormat/>
    <w:uiPriority w:val="0"/>
    <w:pPr>
      <w:spacing w:after="120"/>
    </w:pPr>
  </w:style>
  <w:style w:type="paragraph" w:styleId="7">
    <w:name w:val="Body Text Indent 2"/>
    <w:basedOn w:val="1"/>
    <w:autoRedefine/>
    <w:qFormat/>
    <w:uiPriority w:val="0"/>
    <w:pPr>
      <w:spacing w:after="120" w:line="480" w:lineRule="auto"/>
      <w:ind w:left="420" w:leftChars="200"/>
    </w:pPr>
    <w:rPr>
      <w:rFonts w:ascii="Times New Roman" w:hAnsi="Times New Roman"/>
      <w:sz w:val="32"/>
      <w:szCs w:val="24"/>
    </w:r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next w:val="1"/>
    <w:qFormat/>
    <w:uiPriority w:val="0"/>
    <w:pPr>
      <w:widowControl w:val="0"/>
      <w:spacing w:before="120" w:line="400" w:lineRule="auto"/>
      <w:jc w:val="distribute"/>
    </w:pPr>
    <w:rPr>
      <w:rFonts w:ascii="黑体" w:hAnsi="Times New Roman" w:eastAsia="黑体" w:cs="Times New Roman"/>
      <w:sz w:val="24"/>
      <w:szCs w:val="24"/>
      <w:lang w:val="en-US" w:eastAsia="zh-CN" w:bidi="ar-SA"/>
    </w:rPr>
  </w:style>
  <w:style w:type="paragraph" w:styleId="11">
    <w:name w:val="footnote text"/>
    <w:basedOn w:val="1"/>
    <w:autoRedefine/>
    <w:qFormat/>
    <w:uiPriority w:val="0"/>
    <w:pPr>
      <w:snapToGrid w:val="0"/>
    </w:pPr>
    <w:rPr>
      <w:sz w:val="18"/>
    </w:rPr>
  </w:style>
  <w:style w:type="paragraph" w:styleId="12">
    <w:name w:val="toc 2"/>
    <w:basedOn w:val="1"/>
    <w:next w:val="1"/>
    <w:autoRedefine/>
    <w:qFormat/>
    <w:uiPriority w:val="0"/>
    <w:pPr>
      <w:ind w:left="420" w:leftChars="200"/>
    </w:pPr>
  </w:style>
  <w:style w:type="paragraph" w:styleId="13">
    <w:name w:val="Normal (Web)"/>
    <w:basedOn w:val="1"/>
    <w:qFormat/>
    <w:uiPriority w:val="0"/>
    <w:pPr>
      <w:spacing w:beforeAutospacing="1" w:afterAutospacing="1"/>
    </w:pPr>
    <w:rPr>
      <w:rFonts w:cs="Times New Roman"/>
      <w:sz w:val="24"/>
      <w:lang w:val="en-US" w:bidi="ar-SA"/>
    </w:rPr>
  </w:style>
  <w:style w:type="paragraph" w:styleId="14">
    <w:name w:val="Title"/>
    <w:basedOn w:val="1"/>
    <w:qFormat/>
    <w:uiPriority w:val="0"/>
    <w:pPr>
      <w:jc w:val="center"/>
      <w:outlineLvl w:val="0"/>
    </w:pPr>
    <w:rPr>
      <w:rFonts w:ascii="Arial" w:hAnsi="Arial" w:eastAsia="黑体" w:cs="Arial"/>
      <w:b/>
      <w:bCs/>
      <w:sz w:val="36"/>
      <w:szCs w:val="32"/>
    </w:rPr>
  </w:style>
  <w:style w:type="paragraph" w:styleId="15">
    <w:name w:val="Body Text First Indent"/>
    <w:basedOn w:val="6"/>
    <w:autoRedefine/>
    <w:qFormat/>
    <w:uiPriority w:val="0"/>
    <w:pPr>
      <w:ind w:firstLine="420" w:firstLineChars="100"/>
    </w:pPr>
    <w:rPr>
      <w:rFonts w:ascii="Calibri" w:hAnsi="Calibri" w:eastAsia="宋体"/>
      <w:kern w:val="0"/>
      <w:sz w:val="20"/>
      <w:szCs w:val="20"/>
    </w:rPr>
  </w:style>
  <w:style w:type="table" w:styleId="17">
    <w:name w:val="Table Grid"/>
    <w:basedOn w:val="16"/>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autoRedefine/>
    <w:qFormat/>
    <w:uiPriority w:val="0"/>
    <w:rPr>
      <w:color w:val="0000FF"/>
      <w:u w:val="single"/>
    </w:rPr>
  </w:style>
  <w:style w:type="character" w:styleId="20">
    <w:name w:val="footnote reference"/>
    <w:basedOn w:val="18"/>
    <w:autoRedefine/>
    <w:qFormat/>
    <w:uiPriority w:val="0"/>
    <w:rPr>
      <w:vertAlign w:val="superscript"/>
    </w:rPr>
  </w:style>
  <w:style w:type="paragraph" w:customStyle="1" w:styleId="21">
    <w:name w:val="段落"/>
    <w:basedOn w:val="1"/>
    <w:qFormat/>
    <w:uiPriority w:val="0"/>
    <w:pPr>
      <w:widowControl/>
      <w:adjustRightInd w:val="0"/>
      <w:spacing w:line="420" w:lineRule="exact"/>
      <w:ind w:firstLine="520" w:firstLineChars="200"/>
      <w:textAlignment w:val="baseline"/>
    </w:pPr>
    <w:rPr>
      <w:spacing w:val="10"/>
      <w:sz w:val="24"/>
      <w:szCs w:val="20"/>
    </w:rPr>
  </w:style>
  <w:style w:type="paragraph" w:customStyle="1" w:styleId="22">
    <w:name w:val="一级标题"/>
    <w:basedOn w:val="1"/>
    <w:next w:val="1"/>
    <w:uiPriority w:val="0"/>
    <w:pPr>
      <w:spacing w:before="100" w:beforeLines="100" w:after="100" w:afterLines="100"/>
      <w:ind w:left="0" w:firstLine="0" w:firstLineChars="0"/>
      <w:jc w:val="center"/>
      <w:outlineLvl w:val="0"/>
    </w:pPr>
    <w:rPr>
      <w:rFonts w:eastAsia="黑体"/>
      <w:b/>
      <w:bCs/>
      <w:sz w:val="32"/>
      <w:szCs w:val="32"/>
    </w:rPr>
  </w:style>
  <w:style w:type="paragraph" w:customStyle="1" w:styleId="23">
    <w:name w:val="二级标题"/>
    <w:basedOn w:val="1"/>
    <w:uiPriority w:val="0"/>
    <w:pPr>
      <w:spacing w:before="100" w:beforeLines="100" w:after="100" w:afterLines="100"/>
    </w:pPr>
    <w:rPr>
      <w:rFonts w:hint="eastAsia" w:ascii="宋体" w:hAnsi="宋体" w:cs="宋体"/>
      <w:b/>
      <w:bCs/>
      <w:color w:val="auto"/>
      <w:sz w:val="28"/>
      <w:szCs w:val="28"/>
    </w:rPr>
  </w:style>
  <w:style w:type="paragraph" w:customStyle="1" w:styleId="24">
    <w:name w:val="三级标题"/>
    <w:basedOn w:val="1"/>
    <w:uiPriority w:val="0"/>
    <w:pPr>
      <w:adjustRightInd w:val="0"/>
      <w:ind w:firstLine="602"/>
      <w:textAlignment w:val="baseline"/>
      <w:outlineLvl w:val="2"/>
    </w:pPr>
    <w:rPr>
      <w:rFonts w:hint="eastAsia" w:ascii="宋体" w:hAnsi="宋体" w:cs="宋体"/>
      <w:b/>
      <w:bCs/>
      <w:color w:val="auto"/>
      <w:spacing w:val="10"/>
    </w:rPr>
  </w:style>
  <w:style w:type="paragraph" w:customStyle="1" w:styleId="25">
    <w:name w:val="图/表注"/>
    <w:basedOn w:val="1"/>
    <w:uiPriority w:val="0"/>
    <w:pPr>
      <w:widowControl/>
      <w:ind w:firstLine="480"/>
      <w:jc w:val="center"/>
    </w:pPr>
    <w:rPr>
      <w:rFonts w:ascii="Times New Roman" w:hAnsi="Times New Roman" w:eastAsia="宋体" w:cs="Times New Roman"/>
      <w:b/>
      <w:sz w:val="22"/>
    </w:rPr>
  </w:style>
  <w:style w:type="paragraph" w:customStyle="1" w:styleId="26">
    <w:name w:val="主要参考文献"/>
    <w:basedOn w:val="1"/>
    <w:link w:val="27"/>
    <w:uiPriority w:val="0"/>
    <w:pPr>
      <w:adjustRightInd w:val="0"/>
      <w:snapToGrid w:val="0"/>
      <w:spacing w:before="60" w:line="320" w:lineRule="exact"/>
      <w:ind w:left="420" w:leftChars="200" w:firstLine="0" w:firstLineChars="0"/>
    </w:pPr>
    <w:rPr>
      <w:rFonts w:hint="eastAsia" w:ascii="Times New Roman" w:hAnsi="Times New Roman" w:eastAsia="宋体" w:cs="Times New Roman"/>
      <w:color w:val="auto"/>
      <w:sz w:val="21"/>
      <w:szCs w:val="21"/>
    </w:rPr>
  </w:style>
  <w:style w:type="character" w:customStyle="1" w:styleId="27">
    <w:name w:val="主要参考文献 Char"/>
    <w:link w:val="26"/>
    <w:uiPriority w:val="0"/>
    <w:rPr>
      <w:rFonts w:hint="eastAsia" w:ascii="Times New Roman" w:hAnsi="Times New Roman" w:eastAsia="宋体" w:cs="Times New Roman"/>
      <w:color w:val="auto"/>
      <w:sz w:val="21"/>
      <w:szCs w:val="21"/>
    </w:rPr>
  </w:style>
  <w:style w:type="paragraph" w:customStyle="1" w:styleId="28">
    <w:name w:val="2Heading"/>
    <w:qFormat/>
    <w:uiPriority w:val="0"/>
    <w:pPr>
      <w:spacing w:after="200" w:line="276" w:lineRule="auto"/>
    </w:pPr>
    <w:rPr>
      <w:rFonts w:ascii="黑体" w:hAnsi="黑体" w:eastAsiaTheme="minorEastAsia" w:cstheme="minorBidi"/>
      <w:b/>
      <w:sz w:val="32"/>
      <w:szCs w:val="22"/>
      <w:lang w:val="en-US" w:eastAsia="en-US" w:bidi="ar-SA"/>
    </w:rPr>
  </w:style>
  <w:style w:type="character" w:customStyle="1" w:styleId="29">
    <w:name w:val="FootnoteReference"/>
    <w:qFormat/>
    <w:uiPriority w:val="0"/>
    <w:rPr>
      <w:sz w:val="18"/>
      <w:vertAlign w:val="superscript"/>
    </w:rPr>
  </w:style>
  <w:style w:type="paragraph" w:customStyle="1" w:styleId="30">
    <w:name w:val="FootnoteText"/>
    <w:qFormat/>
    <w:uiPriority w:val="0"/>
    <w:pPr>
      <w:spacing w:after="200" w:line="276" w:lineRule="auto"/>
    </w:pPr>
    <w:rPr>
      <w:rFonts w:ascii="宋体" w:hAnsi="宋体" w:eastAsiaTheme="minorEastAsia" w:cstheme="minorBidi"/>
      <w:sz w:val="18"/>
      <w:szCs w:val="22"/>
      <w:lang w:val="en-US" w:eastAsia="en-US" w:bidi="ar-SA"/>
    </w:rPr>
  </w:style>
  <w:style w:type="character" w:customStyle="1" w:styleId="31">
    <w:name w:val="正文文本 Char"/>
    <w:link w:val="6"/>
    <w:uiPriority w:val="0"/>
  </w:style>
  <w:style w:type="character" w:customStyle="1" w:styleId="32">
    <w:name w:val="标题 1 Char"/>
    <w:link w:val="2"/>
    <w:uiPriority w:val="1"/>
    <w:rPr>
      <w:rFonts w:eastAsia="黑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jpeg"/><Relationship Id="rId21" Type="http://schemas.openxmlformats.org/officeDocument/2006/relationships/theme" Target="theme/theme1.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13830</Words>
  <Characters>16304</Characters>
  <Lines>0</Lines>
  <Paragraphs>0</Paragraphs>
  <TotalTime>1</TotalTime>
  <ScaleCrop>false</ScaleCrop>
  <LinksUpToDate>false</LinksUpToDate>
  <CharactersWithSpaces>16777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2022-06-14T08:37:00Z</dcterms:created>
  <dc:creator>HUAWEI</dc:creator>
  <cp:lastModifiedBy>WPS_1745382907</cp:lastModifiedBy>
  <cp:lastPrinted>2023-05-06T08:23:00Z</cp:lastPrinted>
  <dcterms:modified xsi:type="dcterms:W3CDTF">2026-07-20T09:18:01Z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AB0253D97936420E9FB277831BD97C3D_13</vt:lpwstr>
  </property>
  <property fmtid="{D5CDD505-2E9C-101B-9397-08002B2CF9AE}" pid="4" name="KSOTemplateDocerSaveRecord">
    <vt:lpwstr>eyJoZGlkIjoiMGI2MjU2OTI0MDI1ZDliNTNkYjNiNDk3NTBmYzkxYTYiLCJ1c2VySWQiOiIxNjk1NTQ5MjM3In0=</vt:lpwstr>
  </property>
</Properties>
</file>