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F1F81" w14:textId="342FA336" w:rsidR="00C757D1" w:rsidRDefault="00E01F13" w:rsidP="00E01F13">
      <w:pPr>
        <w:keepNext/>
        <w:spacing w:after="120" w:line="360" w:lineRule="auto"/>
        <w:jc w:val="left"/>
        <w:rPr>
          <w:rFonts w:ascii="Times New Roman" w:eastAsia="黑体" w:hAnsi="Times New Roman" w:cs="Times New Roman" w:hint="eastAsia"/>
          <w:b/>
          <w:sz w:val="32"/>
        </w:rPr>
      </w:pPr>
      <w:r>
        <w:rPr>
          <w:rFonts w:ascii="Times New Roman" w:eastAsia="黑体" w:hAnsi="Times New Roman" w:cs="Times New Roman" w:hint="eastAsia"/>
          <w:b/>
          <w:sz w:val="32"/>
        </w:rPr>
        <w:t xml:space="preserve">3.2.2  </w:t>
      </w:r>
      <w:r>
        <w:rPr>
          <w:rFonts w:ascii="Times New Roman" w:eastAsia="黑体" w:hAnsi="Times New Roman" w:cs="Times New Roman" w:hint="eastAsia"/>
          <w:b/>
          <w:sz w:val="32"/>
        </w:rPr>
        <w:t>油库的分区</w:t>
      </w:r>
    </w:p>
    <w:p w14:paraId="4F1883DB" w14:textId="7A875128"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根据上一节计算结果，本油库用于等级划分的储罐计算总容量为</w:t>
      </w:r>
      <w:r>
        <w:rPr>
          <w:rFonts w:ascii="Times New Roman" w:eastAsia="宋体" w:hAnsi="Times New Roman" w:cs="Times New Roman" w:hint="eastAsia"/>
          <w:sz w:val="24"/>
        </w:rPr>
        <w:t>65000m</w:t>
      </w:r>
      <w:r>
        <w:rPr>
          <w:rFonts w:ascii="Times New Roman" w:eastAsia="宋体" w:hAnsi="Times New Roman" w:cs="Times New Roman" w:hint="eastAsia"/>
          <w:sz w:val="24"/>
        </w:rPr>
        <w:t>³，属于二级石油库。油库内各类设施在生产操作方式、油气散发程度、火灾危险性和人员活动特点方面存在明显差异，因此必须按照功能和危险程度实施分区布置，使危险作业、辅助生产和行政管理相互协调，并限制无关人员和车辆进入生产作业区域。</w:t>
      </w:r>
      <w:r w:rsidRPr="00E01F13">
        <w:rPr>
          <w:rFonts w:ascii="Times New Roman" w:eastAsia="宋体" w:hAnsi="Times New Roman" w:cs="Times New Roman" w:hint="eastAsia"/>
          <w:sz w:val="18"/>
          <w:vertAlign w:val="superscript"/>
        </w:rPr>
        <w:t>[19][21]</w:t>
      </w:r>
    </w:p>
    <w:p w14:paraId="4A56797F" w14:textId="727FCF68"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根据现行《石油库设计规范》</w:t>
      </w:r>
      <w:r>
        <w:rPr>
          <w:rFonts w:ascii="Times New Roman" w:eastAsia="宋体" w:hAnsi="Times New Roman" w:cs="Times New Roman" w:hint="eastAsia"/>
          <w:sz w:val="24"/>
        </w:rPr>
        <w:t>GB 50074</w:t>
      </w:r>
      <w:r>
        <w:rPr>
          <w:rFonts w:ascii="Times New Roman" w:eastAsia="宋体" w:hAnsi="Times New Roman" w:cs="Times New Roman" w:hint="eastAsia"/>
          <w:sz w:val="24"/>
        </w:rPr>
        <w:t>—</w:t>
      </w:r>
      <w:r>
        <w:rPr>
          <w:rFonts w:ascii="Times New Roman" w:eastAsia="宋体" w:hAnsi="Times New Roman" w:cs="Times New Roman" w:hint="eastAsia"/>
          <w:sz w:val="24"/>
        </w:rPr>
        <w:t>2014</w:t>
      </w:r>
      <w:r>
        <w:rPr>
          <w:rFonts w:ascii="Times New Roman" w:eastAsia="宋体" w:hAnsi="Times New Roman" w:cs="Times New Roman" w:hint="eastAsia"/>
          <w:sz w:val="24"/>
        </w:rPr>
        <w:t>第</w:t>
      </w:r>
      <w:r>
        <w:rPr>
          <w:rFonts w:ascii="Times New Roman" w:eastAsia="宋体" w:hAnsi="Times New Roman" w:cs="Times New Roman" w:hint="eastAsia"/>
          <w:sz w:val="24"/>
        </w:rPr>
        <w:t>5.1.1</w:t>
      </w:r>
      <w:r>
        <w:rPr>
          <w:rFonts w:ascii="Times New Roman" w:eastAsia="宋体" w:hAnsi="Times New Roman" w:cs="Times New Roman" w:hint="eastAsia"/>
          <w:sz w:val="24"/>
        </w:rPr>
        <w:t>条，石油库总平面应按储罐区、易燃和可燃液体装卸区、辅助作业区和行政管理区进行分区布置。结合本毕业设计采用的章节名称，库区相应划分为储油区、装卸区、辅助生产区和行政管理区四大功能区，其中“储油区”对应规范中的储罐区，“辅助生产区”对应规范中的辅助作业区。四个功能区之外不再单独设置生活区。</w:t>
      </w:r>
    </w:p>
    <w:p w14:paraId="62A92247" w14:textId="0D94F9E1"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油库分区应遵循分区明确、布局紧凑、流程顺畅、安全可靠和管理方便的原则。在满足防火间距的前提下，应缩短油品收发管线和公用工程管线，减少生产车辆与办公人员流线的交叉，并为消防救援、设备检修和油库后续发展保留必要条件。</w:t>
      </w:r>
      <w:r w:rsidRPr="00E01F13">
        <w:rPr>
          <w:rFonts w:ascii="Times New Roman" w:eastAsia="宋体" w:hAnsi="Times New Roman" w:cs="Times New Roman" w:hint="eastAsia"/>
          <w:sz w:val="18"/>
          <w:vertAlign w:val="superscript"/>
        </w:rPr>
        <w:t>[18][20]</w:t>
      </w:r>
    </w:p>
    <w:p w14:paraId="4A757D1A" w14:textId="184D2E6E" w:rsidR="00E01F13" w:rsidRDefault="00E01F13" w:rsidP="00E01F13">
      <w:pPr>
        <w:keepNext/>
        <w:spacing w:before="120" w:line="360" w:lineRule="auto"/>
        <w:jc w:val="left"/>
        <w:rPr>
          <w:rFonts w:ascii="Times New Roman" w:eastAsia="黑体" w:hAnsi="Times New Roman" w:cs="Times New Roman" w:hint="eastAsia"/>
          <w:b/>
          <w:sz w:val="24"/>
        </w:rPr>
      </w:pPr>
      <w:r>
        <w:rPr>
          <w:rFonts w:ascii="Times New Roman" w:eastAsia="黑体" w:hAnsi="Times New Roman" w:cs="Times New Roman" w:hint="eastAsia"/>
          <w:b/>
          <w:sz w:val="24"/>
        </w:rPr>
        <w:t>（</w:t>
      </w:r>
      <w:r>
        <w:rPr>
          <w:rFonts w:ascii="Times New Roman" w:eastAsia="黑体" w:hAnsi="Times New Roman" w:cs="Times New Roman" w:hint="eastAsia"/>
          <w:b/>
          <w:sz w:val="24"/>
        </w:rPr>
        <w:t>1</w:t>
      </w:r>
      <w:r>
        <w:rPr>
          <w:rFonts w:ascii="Times New Roman" w:eastAsia="黑体" w:hAnsi="Times New Roman" w:cs="Times New Roman" w:hint="eastAsia"/>
          <w:b/>
          <w:sz w:val="24"/>
        </w:rPr>
        <w:t>）储油区</w:t>
      </w:r>
    </w:p>
    <w:p w14:paraId="2F2BFE3A" w14:textId="45C4BDA7"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储油区是油库储存油品的核心区域，也是油库火灾危险性和油品集中程度最高的区域。本设计储油区共设置</w:t>
      </w:r>
      <w:r>
        <w:rPr>
          <w:rFonts w:ascii="Times New Roman" w:eastAsia="宋体" w:hAnsi="Times New Roman" w:cs="Times New Roman" w:hint="eastAsia"/>
          <w:sz w:val="24"/>
        </w:rPr>
        <w:t>8</w:t>
      </w:r>
      <w:r>
        <w:rPr>
          <w:rFonts w:ascii="Times New Roman" w:eastAsia="宋体" w:hAnsi="Times New Roman" w:cs="Times New Roman" w:hint="eastAsia"/>
          <w:sz w:val="24"/>
        </w:rPr>
        <w:t>座地上立式储罐，其中</w:t>
      </w:r>
      <w:r>
        <w:rPr>
          <w:rFonts w:ascii="Times New Roman" w:eastAsia="宋体" w:hAnsi="Times New Roman" w:cs="Times New Roman" w:hint="eastAsia"/>
          <w:sz w:val="24"/>
        </w:rPr>
        <w:t>92</w:t>
      </w:r>
      <w:r>
        <w:rPr>
          <w:rFonts w:ascii="Times New Roman" w:eastAsia="宋体" w:hAnsi="Times New Roman" w:cs="Times New Roman" w:hint="eastAsia"/>
          <w:sz w:val="24"/>
        </w:rPr>
        <w:t>号汽油设置</w:t>
      </w:r>
      <w:r>
        <w:rPr>
          <w:rFonts w:ascii="Times New Roman" w:eastAsia="宋体" w:hAnsi="Times New Roman" w:cs="Times New Roman" w:hint="eastAsia"/>
          <w:sz w:val="24"/>
        </w:rPr>
        <w:t>3</w:t>
      </w:r>
      <w:r>
        <w:rPr>
          <w:rFonts w:ascii="Times New Roman" w:eastAsia="宋体" w:hAnsi="Times New Roman" w:cs="Times New Roman" w:hint="eastAsia"/>
          <w:sz w:val="24"/>
        </w:rPr>
        <w:t>座</w:t>
      </w:r>
      <w:r>
        <w:rPr>
          <w:rFonts w:ascii="Times New Roman" w:eastAsia="宋体" w:hAnsi="Times New Roman" w:cs="Times New Roman" w:hint="eastAsia"/>
          <w:sz w:val="24"/>
        </w:rPr>
        <w:t>10000m</w:t>
      </w:r>
      <w:r>
        <w:rPr>
          <w:rFonts w:ascii="Times New Roman" w:eastAsia="宋体" w:hAnsi="Times New Roman" w:cs="Times New Roman" w:hint="eastAsia"/>
          <w:sz w:val="24"/>
        </w:rPr>
        <w:t>³内浮顶储罐，</w:t>
      </w:r>
      <w:r>
        <w:rPr>
          <w:rFonts w:ascii="Times New Roman" w:eastAsia="宋体" w:hAnsi="Times New Roman" w:cs="Times New Roman" w:hint="eastAsia"/>
          <w:sz w:val="24"/>
        </w:rPr>
        <w:t>95</w:t>
      </w:r>
      <w:r>
        <w:rPr>
          <w:rFonts w:ascii="Times New Roman" w:eastAsia="宋体" w:hAnsi="Times New Roman" w:cs="Times New Roman" w:hint="eastAsia"/>
          <w:sz w:val="24"/>
        </w:rPr>
        <w:t>号汽油设置</w:t>
      </w:r>
      <w:r>
        <w:rPr>
          <w:rFonts w:ascii="Times New Roman" w:eastAsia="宋体" w:hAnsi="Times New Roman" w:cs="Times New Roman" w:hint="eastAsia"/>
          <w:sz w:val="24"/>
        </w:rPr>
        <w:t>2</w:t>
      </w:r>
      <w:r>
        <w:rPr>
          <w:rFonts w:ascii="Times New Roman" w:eastAsia="宋体" w:hAnsi="Times New Roman" w:cs="Times New Roman" w:hint="eastAsia"/>
          <w:sz w:val="24"/>
        </w:rPr>
        <w:t>座</w:t>
      </w:r>
      <w:r>
        <w:rPr>
          <w:rFonts w:ascii="Times New Roman" w:eastAsia="宋体" w:hAnsi="Times New Roman" w:cs="Times New Roman" w:hint="eastAsia"/>
          <w:sz w:val="24"/>
        </w:rPr>
        <w:t>10000m</w:t>
      </w:r>
      <w:r>
        <w:rPr>
          <w:rFonts w:ascii="Times New Roman" w:eastAsia="宋体" w:hAnsi="Times New Roman" w:cs="Times New Roman" w:hint="eastAsia"/>
          <w:sz w:val="24"/>
        </w:rPr>
        <w:t>³内浮顶储罐，</w:t>
      </w:r>
      <w:r>
        <w:rPr>
          <w:rFonts w:ascii="Times New Roman" w:eastAsia="宋体" w:hAnsi="Times New Roman" w:cs="Times New Roman" w:hint="eastAsia"/>
          <w:sz w:val="24"/>
        </w:rPr>
        <w:t>0</w:t>
      </w:r>
      <w:r>
        <w:rPr>
          <w:rFonts w:ascii="Times New Roman" w:eastAsia="宋体" w:hAnsi="Times New Roman" w:cs="Times New Roman" w:hint="eastAsia"/>
          <w:sz w:val="24"/>
        </w:rPr>
        <w:t>号柴油设置</w:t>
      </w:r>
      <w:r>
        <w:rPr>
          <w:rFonts w:ascii="Times New Roman" w:eastAsia="宋体" w:hAnsi="Times New Roman" w:cs="Times New Roman" w:hint="eastAsia"/>
          <w:sz w:val="24"/>
        </w:rPr>
        <w:t>3</w:t>
      </w:r>
      <w:r>
        <w:rPr>
          <w:rFonts w:ascii="Times New Roman" w:eastAsia="宋体" w:hAnsi="Times New Roman" w:cs="Times New Roman" w:hint="eastAsia"/>
          <w:sz w:val="24"/>
        </w:rPr>
        <w:t>座</w:t>
      </w:r>
      <w:r>
        <w:rPr>
          <w:rFonts w:ascii="Times New Roman" w:eastAsia="宋体" w:hAnsi="Times New Roman" w:cs="Times New Roman" w:hint="eastAsia"/>
          <w:sz w:val="24"/>
        </w:rPr>
        <w:t>10000m</w:t>
      </w:r>
      <w:r>
        <w:rPr>
          <w:rFonts w:ascii="Times New Roman" w:eastAsia="宋体" w:hAnsi="Times New Roman" w:cs="Times New Roman" w:hint="eastAsia"/>
          <w:sz w:val="24"/>
        </w:rPr>
        <w:t>³固定顶储罐。汽油储罐和柴油储罐按油品火灾危险性及储罐形式分别组成罐组，各罐组分别设置防火堤，</w:t>
      </w:r>
      <w:r>
        <w:rPr>
          <w:rFonts w:ascii="Times New Roman" w:eastAsia="宋体" w:hAnsi="Times New Roman" w:cs="Times New Roman" w:hint="eastAsia"/>
          <w:sz w:val="24"/>
        </w:rPr>
        <w:t>92</w:t>
      </w:r>
      <w:r>
        <w:rPr>
          <w:rFonts w:ascii="Times New Roman" w:eastAsia="宋体" w:hAnsi="Times New Roman" w:cs="Times New Roman" w:hint="eastAsia"/>
          <w:sz w:val="24"/>
        </w:rPr>
        <w:t>号汽油、</w:t>
      </w:r>
      <w:r>
        <w:rPr>
          <w:rFonts w:ascii="Times New Roman" w:eastAsia="宋体" w:hAnsi="Times New Roman" w:cs="Times New Roman" w:hint="eastAsia"/>
          <w:sz w:val="24"/>
        </w:rPr>
        <w:t>95</w:t>
      </w:r>
      <w:r>
        <w:rPr>
          <w:rFonts w:ascii="Times New Roman" w:eastAsia="宋体" w:hAnsi="Times New Roman" w:cs="Times New Roman" w:hint="eastAsia"/>
          <w:sz w:val="24"/>
        </w:rPr>
        <w:t>号汽油和</w:t>
      </w:r>
      <w:r>
        <w:rPr>
          <w:rFonts w:ascii="Times New Roman" w:eastAsia="宋体" w:hAnsi="Times New Roman" w:cs="Times New Roman" w:hint="eastAsia"/>
          <w:sz w:val="24"/>
        </w:rPr>
        <w:t>0</w:t>
      </w:r>
      <w:r>
        <w:rPr>
          <w:rFonts w:ascii="Times New Roman" w:eastAsia="宋体" w:hAnsi="Times New Roman" w:cs="Times New Roman" w:hint="eastAsia"/>
          <w:sz w:val="24"/>
        </w:rPr>
        <w:t>号柴油采用独立储罐、罐前支线和阀组，防止油品错收、错发及不同牌号油品混合。</w:t>
      </w:r>
    </w:p>
    <w:p w14:paraId="21BF4AEB" w14:textId="42A9D40A"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储油区宜布置在库区内部相对独立、地势较稳定且排水条件良好的位置，不得作为其他功能区之间的人员或车辆通行通道。区内除储罐外，主要布置罐前阀组、现场仪表、液位监测设施、紧急切断设施、消防设施及必要的操作检修通道。根据</w:t>
      </w:r>
      <w:r>
        <w:rPr>
          <w:rFonts w:ascii="Times New Roman" w:eastAsia="宋体" w:hAnsi="Times New Roman" w:cs="Times New Roman" w:hint="eastAsia"/>
          <w:sz w:val="24"/>
        </w:rPr>
        <w:t>GB 50074</w:t>
      </w:r>
      <w:r>
        <w:rPr>
          <w:rFonts w:ascii="Times New Roman" w:eastAsia="宋体" w:hAnsi="Times New Roman" w:cs="Times New Roman" w:hint="eastAsia"/>
          <w:sz w:val="24"/>
        </w:rPr>
        <w:t>—</w:t>
      </w:r>
      <w:r>
        <w:rPr>
          <w:rFonts w:ascii="Times New Roman" w:eastAsia="宋体" w:hAnsi="Times New Roman" w:cs="Times New Roman" w:hint="eastAsia"/>
          <w:sz w:val="24"/>
        </w:rPr>
        <w:t>2014</w:t>
      </w:r>
      <w:r>
        <w:rPr>
          <w:rFonts w:ascii="Times New Roman" w:eastAsia="宋体" w:hAnsi="Times New Roman" w:cs="Times New Roman" w:hint="eastAsia"/>
          <w:sz w:val="24"/>
        </w:rPr>
        <w:t>第</w:t>
      </w:r>
      <w:r>
        <w:rPr>
          <w:rFonts w:ascii="Times New Roman" w:eastAsia="宋体" w:hAnsi="Times New Roman" w:cs="Times New Roman" w:hint="eastAsia"/>
          <w:sz w:val="24"/>
        </w:rPr>
        <w:t>5.2.1</w:t>
      </w:r>
      <w:r>
        <w:rPr>
          <w:rFonts w:ascii="Times New Roman" w:eastAsia="宋体" w:hAnsi="Times New Roman" w:cs="Times New Roman" w:hint="eastAsia"/>
          <w:sz w:val="24"/>
        </w:rPr>
        <w:t>条，储罐区周围设置环形消防车道；消防道路、防火堤和工艺管线之间应留有消防操作及设备检修空间。</w:t>
      </w:r>
      <w:r w:rsidRPr="00E01F13">
        <w:rPr>
          <w:rFonts w:ascii="Times New Roman" w:eastAsia="宋体" w:hAnsi="Times New Roman" w:cs="Times New Roman" w:hint="eastAsia"/>
          <w:sz w:val="18"/>
          <w:vertAlign w:val="superscript"/>
        </w:rPr>
        <w:t>[18][19]</w:t>
      </w:r>
    </w:p>
    <w:p w14:paraId="76B14DC1" w14:textId="0B00D74F"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储罐布置应首先满足</w:t>
      </w:r>
      <w:r>
        <w:rPr>
          <w:rFonts w:ascii="Times New Roman" w:eastAsia="宋体" w:hAnsi="Times New Roman" w:cs="Times New Roman" w:hint="eastAsia"/>
          <w:sz w:val="24"/>
        </w:rPr>
        <w:t>GB 50074</w:t>
      </w:r>
      <w:r>
        <w:rPr>
          <w:rFonts w:ascii="Times New Roman" w:eastAsia="宋体" w:hAnsi="Times New Roman" w:cs="Times New Roman" w:hint="eastAsia"/>
          <w:sz w:val="24"/>
        </w:rPr>
        <w:t>—</w:t>
      </w:r>
      <w:r>
        <w:rPr>
          <w:rFonts w:ascii="Times New Roman" w:eastAsia="宋体" w:hAnsi="Times New Roman" w:cs="Times New Roman" w:hint="eastAsia"/>
          <w:sz w:val="24"/>
        </w:rPr>
        <w:t>2014</w:t>
      </w:r>
      <w:r>
        <w:rPr>
          <w:rFonts w:ascii="Times New Roman" w:eastAsia="宋体" w:hAnsi="Times New Roman" w:cs="Times New Roman" w:hint="eastAsia"/>
          <w:sz w:val="24"/>
        </w:rPr>
        <w:t>第</w:t>
      </w:r>
      <w:r>
        <w:rPr>
          <w:rFonts w:ascii="Times New Roman" w:eastAsia="宋体" w:hAnsi="Times New Roman" w:cs="Times New Roman" w:hint="eastAsia"/>
          <w:sz w:val="24"/>
        </w:rPr>
        <w:t>6</w:t>
      </w:r>
      <w:r>
        <w:rPr>
          <w:rFonts w:ascii="Times New Roman" w:eastAsia="宋体" w:hAnsi="Times New Roman" w:cs="Times New Roman" w:hint="eastAsia"/>
          <w:sz w:val="24"/>
        </w:rPr>
        <w:t>章关于储罐布置和防火间距的要求，储罐组防火堤应符合该规范第</w:t>
      </w:r>
      <w:r>
        <w:rPr>
          <w:rFonts w:ascii="Times New Roman" w:eastAsia="宋体" w:hAnsi="Times New Roman" w:cs="Times New Roman" w:hint="eastAsia"/>
          <w:sz w:val="24"/>
        </w:rPr>
        <w:t>6.5</w:t>
      </w:r>
      <w:r>
        <w:rPr>
          <w:rFonts w:ascii="Times New Roman" w:eastAsia="宋体" w:hAnsi="Times New Roman" w:cs="Times New Roman" w:hint="eastAsia"/>
          <w:sz w:val="24"/>
        </w:rPr>
        <w:t>节的规定。储油区的预留发展用地宜设置在罐组一侧，并与现有工艺管线、消防道路和后续扩建方向统一考虑，不应将预留罐位布置在现有危险设施与行政管理区之间。储油区集中布置有利于缩短工艺管线、减少消防道路长度并</w:t>
      </w:r>
      <w:r>
        <w:rPr>
          <w:rFonts w:ascii="Times New Roman" w:eastAsia="宋体" w:hAnsi="Times New Roman" w:cs="Times New Roman" w:hint="eastAsia"/>
          <w:sz w:val="24"/>
        </w:rPr>
        <w:lastRenderedPageBreak/>
        <w:t>提高运行管理效率，但不得以压缩规范规定的防火间距为代价。</w:t>
      </w:r>
      <w:r w:rsidRPr="00E01F13">
        <w:rPr>
          <w:rFonts w:ascii="Times New Roman" w:eastAsia="宋体" w:hAnsi="Times New Roman" w:cs="Times New Roman" w:hint="eastAsia"/>
          <w:sz w:val="18"/>
          <w:vertAlign w:val="superscript"/>
        </w:rPr>
        <w:t>[20]</w:t>
      </w:r>
    </w:p>
    <w:p w14:paraId="41D50CEB" w14:textId="255D6844" w:rsidR="00E01F13" w:rsidRDefault="00E01F13" w:rsidP="00E01F13">
      <w:pPr>
        <w:keepNext/>
        <w:spacing w:before="120" w:line="360" w:lineRule="auto"/>
        <w:jc w:val="left"/>
        <w:rPr>
          <w:rFonts w:ascii="Times New Roman" w:eastAsia="黑体" w:hAnsi="Times New Roman" w:cs="Times New Roman" w:hint="eastAsia"/>
          <w:b/>
          <w:sz w:val="24"/>
        </w:rPr>
      </w:pPr>
      <w:r>
        <w:rPr>
          <w:rFonts w:ascii="Times New Roman" w:eastAsia="黑体" w:hAnsi="Times New Roman" w:cs="Times New Roman" w:hint="eastAsia"/>
          <w:b/>
          <w:sz w:val="24"/>
        </w:rPr>
        <w:t>（</w:t>
      </w:r>
      <w:r>
        <w:rPr>
          <w:rFonts w:ascii="Times New Roman" w:eastAsia="黑体" w:hAnsi="Times New Roman" w:cs="Times New Roman" w:hint="eastAsia"/>
          <w:b/>
          <w:sz w:val="24"/>
        </w:rPr>
        <w:t>2</w:t>
      </w:r>
      <w:r>
        <w:rPr>
          <w:rFonts w:ascii="Times New Roman" w:eastAsia="黑体" w:hAnsi="Times New Roman" w:cs="Times New Roman" w:hint="eastAsia"/>
          <w:b/>
          <w:sz w:val="24"/>
        </w:rPr>
        <w:t>）装卸区</w:t>
      </w:r>
    </w:p>
    <w:p w14:paraId="40F2DD7D" w14:textId="4027E046"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装卸区承担油品进出油库的收发作业。根据本油库收发油方案，</w:t>
      </w:r>
      <w:r>
        <w:rPr>
          <w:rFonts w:ascii="Times New Roman" w:eastAsia="宋体" w:hAnsi="Times New Roman" w:cs="Times New Roman" w:hint="eastAsia"/>
          <w:sz w:val="24"/>
        </w:rPr>
        <w:t>92</w:t>
      </w:r>
      <w:r>
        <w:rPr>
          <w:rFonts w:ascii="Times New Roman" w:eastAsia="宋体" w:hAnsi="Times New Roman" w:cs="Times New Roman" w:hint="eastAsia"/>
          <w:sz w:val="24"/>
        </w:rPr>
        <w:t>号汽油、</w:t>
      </w:r>
      <w:r>
        <w:rPr>
          <w:rFonts w:ascii="Times New Roman" w:eastAsia="宋体" w:hAnsi="Times New Roman" w:cs="Times New Roman" w:hint="eastAsia"/>
          <w:sz w:val="24"/>
        </w:rPr>
        <w:t>95</w:t>
      </w:r>
      <w:r>
        <w:rPr>
          <w:rFonts w:ascii="Times New Roman" w:eastAsia="宋体" w:hAnsi="Times New Roman" w:cs="Times New Roman" w:hint="eastAsia"/>
          <w:sz w:val="24"/>
        </w:rPr>
        <w:t>号汽油和</w:t>
      </w:r>
      <w:r>
        <w:rPr>
          <w:rFonts w:ascii="Times New Roman" w:eastAsia="宋体" w:hAnsi="Times New Roman" w:cs="Times New Roman" w:hint="eastAsia"/>
          <w:sz w:val="24"/>
        </w:rPr>
        <w:t>0</w:t>
      </w:r>
      <w:r>
        <w:rPr>
          <w:rFonts w:ascii="Times New Roman" w:eastAsia="宋体" w:hAnsi="Times New Roman" w:cs="Times New Roman" w:hint="eastAsia"/>
          <w:sz w:val="24"/>
        </w:rPr>
        <w:t>号柴油均采用管道进库，出库采用管道运输和公路运输两种方式，因此装卸区由管道收发油设施和公路装车设施组成，不设置铁路装卸区和水运装卸区。</w:t>
      </w:r>
    </w:p>
    <w:p w14:paraId="5764782C" w14:textId="44630853"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管道收发油设施主要包括库外管道接口、进出库阀组、过滤设施、计量设施、取样设施、输油泵及油品分配管线。管道接口和进出库阀组宜靠近外部输油管道进入库区的位置布置，使外部管道能够以较短路线接入装卸区和储油区，并减少管道穿越其他功能区的长度。输油泵和阀组的位置应根据收发油工艺确定，同时满足操作、检修、泄压和紧急切断要求。</w:t>
      </w:r>
    </w:p>
    <w:p w14:paraId="7BC4C4BA" w14:textId="46BC00AA"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公路装车区宜布置在库区靠近对外公路的一侧，使汽车罐车完成检查、装车和复核后能够直接驶离，不需要穿越储油区、辅助生产区或行政管理区。公路装车区应与其他功能区采用围墙、栅栏或受控通道进行分隔，并设置车辆检查、装车作业和必要的等候位置。装车车辆宜采用单向循环交通组织，避免车辆在装车作业区域频繁倒车、调头或与办公人员通道交叉。</w:t>
      </w:r>
      <w:r w:rsidRPr="00E01F13">
        <w:rPr>
          <w:rFonts w:ascii="Times New Roman" w:eastAsia="宋体" w:hAnsi="Times New Roman" w:cs="Times New Roman" w:hint="eastAsia"/>
          <w:sz w:val="18"/>
          <w:vertAlign w:val="superscript"/>
        </w:rPr>
        <w:t>[19][20]</w:t>
      </w:r>
    </w:p>
    <w:p w14:paraId="00AFC738" w14:textId="727A6AC2"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公路装车区主要设置装车棚、装车岛、底部装车鹤管、定量装车控制设施、流量计、静电接地装置、防溢流联锁和紧急停车设施。按照现行《储油库大气污染物排放标准》</w:t>
      </w:r>
      <w:r>
        <w:rPr>
          <w:rFonts w:ascii="Times New Roman" w:eastAsia="宋体" w:hAnsi="Times New Roman" w:cs="Times New Roman" w:hint="eastAsia"/>
          <w:sz w:val="24"/>
        </w:rPr>
        <w:t>GB 20950</w:t>
      </w:r>
      <w:r>
        <w:rPr>
          <w:rFonts w:ascii="Times New Roman" w:eastAsia="宋体" w:hAnsi="Times New Roman" w:cs="Times New Roman" w:hint="eastAsia"/>
          <w:sz w:val="24"/>
        </w:rPr>
        <w:t>—</w:t>
      </w:r>
      <w:r>
        <w:rPr>
          <w:rFonts w:ascii="Times New Roman" w:eastAsia="宋体" w:hAnsi="Times New Roman" w:cs="Times New Roman" w:hint="eastAsia"/>
          <w:sz w:val="24"/>
        </w:rPr>
        <w:t>2020</w:t>
      </w:r>
      <w:r>
        <w:rPr>
          <w:rFonts w:ascii="Times New Roman" w:eastAsia="宋体" w:hAnsi="Times New Roman" w:cs="Times New Roman" w:hint="eastAsia"/>
          <w:sz w:val="24"/>
        </w:rPr>
        <w:t>第</w:t>
      </w:r>
      <w:r>
        <w:rPr>
          <w:rFonts w:ascii="Times New Roman" w:eastAsia="宋体" w:hAnsi="Times New Roman" w:cs="Times New Roman" w:hint="eastAsia"/>
          <w:sz w:val="24"/>
        </w:rPr>
        <w:t>4.3</w:t>
      </w:r>
      <w:r>
        <w:rPr>
          <w:rFonts w:ascii="Times New Roman" w:eastAsia="宋体" w:hAnsi="Times New Roman" w:cs="Times New Roman" w:hint="eastAsia"/>
          <w:sz w:val="24"/>
        </w:rPr>
        <w:t>节，汽油装车鹤位应设置密闭油气收集管线并接入油气回收装置。</w:t>
      </w:r>
      <w:r>
        <w:rPr>
          <w:rFonts w:ascii="Times New Roman" w:eastAsia="宋体" w:hAnsi="Times New Roman" w:cs="Times New Roman" w:hint="eastAsia"/>
          <w:sz w:val="24"/>
        </w:rPr>
        <w:t>92</w:t>
      </w:r>
      <w:r>
        <w:rPr>
          <w:rFonts w:ascii="Times New Roman" w:eastAsia="宋体" w:hAnsi="Times New Roman" w:cs="Times New Roman" w:hint="eastAsia"/>
          <w:sz w:val="24"/>
        </w:rPr>
        <w:t>号汽油、</w:t>
      </w:r>
      <w:r>
        <w:rPr>
          <w:rFonts w:ascii="Times New Roman" w:eastAsia="宋体" w:hAnsi="Times New Roman" w:cs="Times New Roman" w:hint="eastAsia"/>
          <w:sz w:val="24"/>
        </w:rPr>
        <w:t>95</w:t>
      </w:r>
      <w:r>
        <w:rPr>
          <w:rFonts w:ascii="Times New Roman" w:eastAsia="宋体" w:hAnsi="Times New Roman" w:cs="Times New Roman" w:hint="eastAsia"/>
          <w:sz w:val="24"/>
        </w:rPr>
        <w:t>号汽油和</w:t>
      </w:r>
      <w:r>
        <w:rPr>
          <w:rFonts w:ascii="Times New Roman" w:eastAsia="宋体" w:hAnsi="Times New Roman" w:cs="Times New Roman" w:hint="eastAsia"/>
          <w:sz w:val="24"/>
        </w:rPr>
        <w:t>0</w:t>
      </w:r>
      <w:r>
        <w:rPr>
          <w:rFonts w:ascii="Times New Roman" w:eastAsia="宋体" w:hAnsi="Times New Roman" w:cs="Times New Roman" w:hint="eastAsia"/>
          <w:sz w:val="24"/>
        </w:rPr>
        <w:t>号柴油分别设置明确的装车鹤位、管线及标识，装车控制系统应对油品牌号、车辆仓号和装载量进行核对，防止错装、混装和超装。</w:t>
      </w:r>
    </w:p>
    <w:p w14:paraId="10B711B6" w14:textId="5A2F1B47"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装卸区内建（构）筑物与储罐、行政管理设施及辅助生产设施之间的防火距离，应按照</w:t>
      </w:r>
      <w:r>
        <w:rPr>
          <w:rFonts w:ascii="Times New Roman" w:eastAsia="宋体" w:hAnsi="Times New Roman" w:cs="Times New Roman" w:hint="eastAsia"/>
          <w:sz w:val="24"/>
        </w:rPr>
        <w:t>GB 50074</w:t>
      </w:r>
      <w:r>
        <w:rPr>
          <w:rFonts w:ascii="Times New Roman" w:eastAsia="宋体" w:hAnsi="Times New Roman" w:cs="Times New Roman" w:hint="eastAsia"/>
          <w:sz w:val="24"/>
        </w:rPr>
        <w:t>—</w:t>
      </w:r>
      <w:r>
        <w:rPr>
          <w:rFonts w:ascii="Times New Roman" w:eastAsia="宋体" w:hAnsi="Times New Roman" w:cs="Times New Roman" w:hint="eastAsia"/>
          <w:sz w:val="24"/>
        </w:rPr>
        <w:t>2014</w:t>
      </w:r>
      <w:r>
        <w:rPr>
          <w:rFonts w:ascii="Times New Roman" w:eastAsia="宋体" w:hAnsi="Times New Roman" w:cs="Times New Roman" w:hint="eastAsia"/>
          <w:sz w:val="24"/>
        </w:rPr>
        <w:t>第</w:t>
      </w:r>
      <w:r>
        <w:rPr>
          <w:rFonts w:ascii="Times New Roman" w:eastAsia="宋体" w:hAnsi="Times New Roman" w:cs="Times New Roman" w:hint="eastAsia"/>
          <w:sz w:val="24"/>
        </w:rPr>
        <w:t>5.1</w:t>
      </w:r>
      <w:r>
        <w:rPr>
          <w:rFonts w:ascii="Times New Roman" w:eastAsia="宋体" w:hAnsi="Times New Roman" w:cs="Times New Roman" w:hint="eastAsia"/>
          <w:sz w:val="24"/>
        </w:rPr>
        <w:t>节及相关专门条款确定，不得直接采用旧版规范或其他油库设计中的距离数据。</w:t>
      </w:r>
    </w:p>
    <w:p w14:paraId="2C379CBB" w14:textId="6C846DF3" w:rsidR="00E01F13" w:rsidRDefault="00E01F13" w:rsidP="00E01F13">
      <w:pPr>
        <w:keepNext/>
        <w:spacing w:before="120" w:line="360" w:lineRule="auto"/>
        <w:jc w:val="left"/>
        <w:rPr>
          <w:rFonts w:ascii="Times New Roman" w:eastAsia="黑体" w:hAnsi="Times New Roman" w:cs="Times New Roman" w:hint="eastAsia"/>
          <w:b/>
          <w:sz w:val="24"/>
        </w:rPr>
      </w:pPr>
      <w:r>
        <w:rPr>
          <w:rFonts w:ascii="Times New Roman" w:eastAsia="黑体" w:hAnsi="Times New Roman" w:cs="Times New Roman" w:hint="eastAsia"/>
          <w:b/>
          <w:sz w:val="24"/>
        </w:rPr>
        <w:t>（</w:t>
      </w:r>
      <w:r>
        <w:rPr>
          <w:rFonts w:ascii="Times New Roman" w:eastAsia="黑体" w:hAnsi="Times New Roman" w:cs="Times New Roman" w:hint="eastAsia"/>
          <w:b/>
          <w:sz w:val="24"/>
        </w:rPr>
        <w:t>3</w:t>
      </w:r>
      <w:r>
        <w:rPr>
          <w:rFonts w:ascii="Times New Roman" w:eastAsia="黑体" w:hAnsi="Times New Roman" w:cs="Times New Roman" w:hint="eastAsia"/>
          <w:b/>
          <w:sz w:val="24"/>
        </w:rPr>
        <w:t>）行政管理区</w:t>
      </w:r>
    </w:p>
    <w:p w14:paraId="1A58D8DA" w14:textId="5D83F5C4"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行政管理区是油库日常行政、业务联系和出入管理的区域，应布置在靠近库区主要人员出入口且便于对外联系的位置，并与储油区和装卸区保持规定的防火间距。该区应设置独立或受控的人员出入口，使外来办事人员和非生产人员不必进入储油区、装卸区及辅助生产区。</w:t>
      </w:r>
      <w:r w:rsidRPr="00E01F13">
        <w:rPr>
          <w:rFonts w:ascii="Times New Roman" w:eastAsia="宋体" w:hAnsi="Times New Roman" w:cs="Times New Roman" w:hint="eastAsia"/>
          <w:sz w:val="18"/>
          <w:vertAlign w:val="superscript"/>
        </w:rPr>
        <w:t>[19][21]</w:t>
      </w:r>
    </w:p>
    <w:p w14:paraId="624EBE8B" w14:textId="01F0D11D"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本设计行政管理区主要布置门卫、办公室、会议及资料管理等非生产性用房。行政</w:t>
      </w:r>
      <w:r>
        <w:rPr>
          <w:rFonts w:ascii="Times New Roman" w:eastAsia="宋体" w:hAnsi="Times New Roman" w:cs="Times New Roman" w:hint="eastAsia"/>
          <w:sz w:val="24"/>
        </w:rPr>
        <w:lastRenderedPageBreak/>
        <w:t>管理区与生产作业区之间应设置实体围墙、围栏或门禁控制设施，人员通道与汽车罐车通道分开布置。行政管理建筑的位置还应结合当地全年风向和事故油气可能扩散方向综合确定，尽量降低生产区泄漏油气对办公人员的影响。</w:t>
      </w:r>
    </w:p>
    <w:p w14:paraId="34BE786A" w14:textId="0A1E5626"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本设计任务书未提出职工宿舍、食堂和浴室等生活设施的建设要求，因此本设计不在库区内设置上述生活设施。后续确有建设需要时，应在库区外另行选址，并按有关规定确定其与石油库的安全距离。行政管理区不得承担汽车罐车等生产车辆的等候、停车和调头功能。</w:t>
      </w:r>
    </w:p>
    <w:p w14:paraId="2DEB6921" w14:textId="3B2CEE35" w:rsidR="00E01F13" w:rsidRDefault="00E01F13" w:rsidP="00E01F13">
      <w:pPr>
        <w:keepNext/>
        <w:spacing w:before="120" w:line="360" w:lineRule="auto"/>
        <w:jc w:val="left"/>
        <w:rPr>
          <w:rFonts w:ascii="Times New Roman" w:eastAsia="黑体" w:hAnsi="Times New Roman" w:cs="Times New Roman" w:hint="eastAsia"/>
          <w:b/>
          <w:sz w:val="24"/>
        </w:rPr>
      </w:pPr>
      <w:r>
        <w:rPr>
          <w:rFonts w:ascii="Times New Roman" w:eastAsia="黑体" w:hAnsi="Times New Roman" w:cs="Times New Roman" w:hint="eastAsia"/>
          <w:b/>
          <w:sz w:val="24"/>
        </w:rPr>
        <w:t>（</w:t>
      </w:r>
      <w:r>
        <w:rPr>
          <w:rFonts w:ascii="Times New Roman" w:eastAsia="黑体" w:hAnsi="Times New Roman" w:cs="Times New Roman" w:hint="eastAsia"/>
          <w:b/>
          <w:sz w:val="24"/>
        </w:rPr>
        <w:t>4</w:t>
      </w:r>
      <w:r>
        <w:rPr>
          <w:rFonts w:ascii="Times New Roman" w:eastAsia="黑体" w:hAnsi="Times New Roman" w:cs="Times New Roman" w:hint="eastAsia"/>
          <w:b/>
          <w:sz w:val="24"/>
        </w:rPr>
        <w:t>）辅助生产区</w:t>
      </w:r>
    </w:p>
    <w:p w14:paraId="3875AD28" w14:textId="158098A6"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辅助生产区用于布置保证油库安全运行、动力供应、设备维护、质量管理和环境保护所需的设施。本设计根据实际需要设置消防泵房、消防水池或消防水罐、变配电设施、生产控制及仪表设施、维修及器材储存设施、化验设施和含油污水处理设施。辅助生产设施在满足防火间距和独立运行要求的前提下可相对集中布置，以减少重复建设并便于运行管理。</w:t>
      </w:r>
      <w:r w:rsidRPr="00E01F13">
        <w:rPr>
          <w:rFonts w:ascii="Times New Roman" w:eastAsia="宋体" w:hAnsi="Times New Roman" w:cs="Times New Roman" w:hint="eastAsia"/>
          <w:sz w:val="18"/>
          <w:vertAlign w:val="superscript"/>
        </w:rPr>
        <w:t>[19][21]</w:t>
      </w:r>
    </w:p>
    <w:p w14:paraId="44EF738B" w14:textId="3130878C"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消防泵房和消防水储存设施应在满足安全距离的前提下靠近主要保护对象布置，并保证事故状态下消防人员能够从安全方向进入和操作。变配电设施宜靠近主要用电负荷中心，但不得布置在可能受到油品泄漏、可燃油气积聚或火灾直接威胁的位置。生产控制和仪表设施应避开爆炸危险区域，并具备对储罐液位、泵组状态、管线压力、可燃气体报警和紧急切断系统进行监控的条件。</w:t>
      </w:r>
    </w:p>
    <w:p w14:paraId="23397B0B" w14:textId="6F3220D2"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含油污水处理设施宜结合场地竖向布置在便于含油污水汇集的库区较低位置，并应避开行政管理区主要人员活动区域。消防泵房、消防水设施、变配电设施以及含油污水处理设施的位置应分别服从消防取水、供电负荷和重力排水条件，不能仅为集中布置而忽略各自的安全及工艺要求。</w:t>
      </w:r>
      <w:r w:rsidRPr="00E01F13">
        <w:rPr>
          <w:rFonts w:ascii="Times New Roman" w:eastAsia="宋体" w:hAnsi="Times New Roman" w:cs="Times New Roman" w:hint="eastAsia"/>
          <w:sz w:val="18"/>
          <w:vertAlign w:val="superscript"/>
        </w:rPr>
        <w:t>[20]</w:t>
      </w:r>
    </w:p>
    <w:p w14:paraId="4309F76B" w14:textId="70659FCE"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本设计</w:t>
      </w:r>
      <w:r>
        <w:rPr>
          <w:rFonts w:ascii="Times New Roman" w:eastAsia="宋体" w:hAnsi="Times New Roman" w:cs="Times New Roman" w:hint="eastAsia"/>
          <w:sz w:val="24"/>
        </w:rPr>
        <w:t>92</w:t>
      </w:r>
      <w:r>
        <w:rPr>
          <w:rFonts w:ascii="Times New Roman" w:eastAsia="宋体" w:hAnsi="Times New Roman" w:cs="Times New Roman" w:hint="eastAsia"/>
          <w:sz w:val="24"/>
        </w:rPr>
        <w:t>号汽油、</w:t>
      </w:r>
      <w:r>
        <w:rPr>
          <w:rFonts w:ascii="Times New Roman" w:eastAsia="宋体" w:hAnsi="Times New Roman" w:cs="Times New Roman" w:hint="eastAsia"/>
          <w:sz w:val="24"/>
        </w:rPr>
        <w:t>95</w:t>
      </w:r>
      <w:r>
        <w:rPr>
          <w:rFonts w:ascii="Times New Roman" w:eastAsia="宋体" w:hAnsi="Times New Roman" w:cs="Times New Roman" w:hint="eastAsia"/>
          <w:sz w:val="24"/>
        </w:rPr>
        <w:t>号汽油和</w:t>
      </w:r>
      <w:r>
        <w:rPr>
          <w:rFonts w:ascii="Times New Roman" w:eastAsia="宋体" w:hAnsi="Times New Roman" w:cs="Times New Roman" w:hint="eastAsia"/>
          <w:sz w:val="24"/>
        </w:rPr>
        <w:t>0</w:t>
      </w:r>
      <w:r>
        <w:rPr>
          <w:rFonts w:ascii="Times New Roman" w:eastAsia="宋体" w:hAnsi="Times New Roman" w:cs="Times New Roman" w:hint="eastAsia"/>
          <w:sz w:val="24"/>
        </w:rPr>
        <w:t>号柴油均采用常温储存和输送，不设置油品加热系统，因此辅助生产区不设置锅炉房，避免照搬重油库或原油库设计中的供热设施。</w:t>
      </w:r>
    </w:p>
    <w:p w14:paraId="638A53DC" w14:textId="4CC00593" w:rsidR="00E01F13" w:rsidRDefault="00E01F13" w:rsidP="00E01F13">
      <w:pPr>
        <w:keepNext/>
        <w:spacing w:line="360" w:lineRule="auto"/>
        <w:ind w:firstLine="420"/>
        <w:rPr>
          <w:rFonts w:ascii="Times New Roman" w:eastAsia="宋体" w:hAnsi="Times New Roman" w:cs="Times New Roman" w:hint="eastAsia"/>
          <w:sz w:val="24"/>
        </w:rPr>
      </w:pPr>
      <w:r>
        <w:rPr>
          <w:rFonts w:ascii="Times New Roman" w:eastAsia="宋体" w:hAnsi="Times New Roman" w:cs="Times New Roman" w:hint="eastAsia"/>
          <w:sz w:val="24"/>
        </w:rPr>
        <w:t>综上，本油库形成以储油区为核心、装卸区靠近库外交通一侧、行政管理区靠近主要人员出入口、辅助生产区根据消防供水、供电负荷和污水排放条件布置的四区格局。各区之间通过消防道路、围墙或受控通道实现空间分隔和运行联系，油品运输流线、汽车罐车流线和办公人员流线相互分离。油库内各建（构）筑物及设施之间的最终防火距</w:t>
      </w:r>
      <w:r>
        <w:rPr>
          <w:rFonts w:ascii="Times New Roman" w:eastAsia="宋体" w:hAnsi="Times New Roman" w:cs="Times New Roman" w:hint="eastAsia"/>
          <w:sz w:val="24"/>
        </w:rPr>
        <w:lastRenderedPageBreak/>
        <w:t>离，应以</w:t>
      </w:r>
      <w:r>
        <w:rPr>
          <w:rFonts w:ascii="Times New Roman" w:eastAsia="宋体" w:hAnsi="Times New Roman" w:cs="Times New Roman" w:hint="eastAsia"/>
          <w:sz w:val="24"/>
        </w:rPr>
        <w:t>GB 50074</w:t>
      </w:r>
      <w:r>
        <w:rPr>
          <w:rFonts w:ascii="Times New Roman" w:eastAsia="宋体" w:hAnsi="Times New Roman" w:cs="Times New Roman" w:hint="eastAsia"/>
          <w:sz w:val="24"/>
        </w:rPr>
        <w:t>—</w:t>
      </w:r>
      <w:r>
        <w:rPr>
          <w:rFonts w:ascii="Times New Roman" w:eastAsia="宋体" w:hAnsi="Times New Roman" w:cs="Times New Roman" w:hint="eastAsia"/>
          <w:sz w:val="24"/>
        </w:rPr>
        <w:t>2014</w:t>
      </w:r>
      <w:r>
        <w:rPr>
          <w:rFonts w:ascii="Times New Roman" w:eastAsia="宋体" w:hAnsi="Times New Roman" w:cs="Times New Roman" w:hint="eastAsia"/>
          <w:sz w:val="24"/>
        </w:rPr>
        <w:t>表</w:t>
      </w:r>
      <w:r>
        <w:rPr>
          <w:rFonts w:ascii="Times New Roman" w:eastAsia="宋体" w:hAnsi="Times New Roman" w:cs="Times New Roman" w:hint="eastAsia"/>
          <w:sz w:val="24"/>
        </w:rPr>
        <w:t>5.1.3</w:t>
      </w:r>
      <w:r>
        <w:rPr>
          <w:rFonts w:ascii="Times New Roman" w:eastAsia="宋体" w:hAnsi="Times New Roman" w:cs="Times New Roman" w:hint="eastAsia"/>
          <w:sz w:val="24"/>
        </w:rPr>
        <w:t>及相关章节的计算和校核结果为准。</w:t>
      </w:r>
    </w:p>
    <w:p w14:paraId="64BC9048" w14:textId="30F80215" w:rsidR="00E01F13" w:rsidRDefault="00E01F13" w:rsidP="00E01F13">
      <w:pPr>
        <w:keepNext/>
        <w:spacing w:before="120" w:line="360" w:lineRule="auto"/>
        <w:jc w:val="left"/>
        <w:rPr>
          <w:rFonts w:ascii="Times New Roman" w:eastAsia="黑体" w:hAnsi="Times New Roman" w:cs="Times New Roman" w:hint="eastAsia"/>
          <w:b/>
          <w:sz w:val="24"/>
        </w:rPr>
      </w:pPr>
      <w:r>
        <w:rPr>
          <w:rFonts w:ascii="Times New Roman" w:eastAsia="黑体" w:hAnsi="Times New Roman" w:cs="Times New Roman" w:hint="eastAsia"/>
          <w:b/>
          <w:sz w:val="24"/>
        </w:rPr>
        <w:t>本节参考文献</w:t>
      </w:r>
    </w:p>
    <w:p w14:paraId="599D2688" w14:textId="7CDC1DB3" w:rsidR="00E01F13" w:rsidRDefault="00E01F13" w:rsidP="00E01F13">
      <w:pPr>
        <w:keepNext/>
        <w:jc w:val="left"/>
        <w:rPr>
          <w:rFonts w:ascii="Times New Roman" w:eastAsia="宋体" w:hAnsi="Times New Roman" w:cs="Times New Roman" w:hint="eastAsia"/>
        </w:rPr>
      </w:pPr>
      <w:r>
        <w:rPr>
          <w:rFonts w:ascii="Times New Roman" w:eastAsia="宋体" w:hAnsi="Times New Roman" w:cs="Times New Roman" w:hint="eastAsia"/>
        </w:rPr>
        <w:t xml:space="preserve">[18] </w:t>
      </w:r>
      <w:r>
        <w:rPr>
          <w:rFonts w:ascii="Times New Roman" w:eastAsia="宋体" w:hAnsi="Times New Roman" w:cs="Times New Roman" w:hint="eastAsia"/>
        </w:rPr>
        <w:t>邢科伟</w:t>
      </w:r>
      <w:r>
        <w:rPr>
          <w:rFonts w:ascii="Times New Roman" w:eastAsia="宋体" w:hAnsi="Times New Roman" w:cs="Times New Roman" w:hint="eastAsia"/>
        </w:rPr>
        <w:t xml:space="preserve">, </w:t>
      </w:r>
      <w:r>
        <w:rPr>
          <w:rFonts w:ascii="Times New Roman" w:eastAsia="宋体" w:hAnsi="Times New Roman" w:cs="Times New Roman" w:hint="eastAsia"/>
        </w:rPr>
        <w:t>马秀让</w:t>
      </w:r>
      <w:r>
        <w:rPr>
          <w:rFonts w:ascii="Times New Roman" w:eastAsia="宋体" w:hAnsi="Times New Roman" w:cs="Times New Roman" w:hint="eastAsia"/>
        </w:rPr>
        <w:t xml:space="preserve">, </w:t>
      </w:r>
      <w:r>
        <w:rPr>
          <w:rFonts w:ascii="Times New Roman" w:eastAsia="宋体" w:hAnsi="Times New Roman" w:cs="Times New Roman" w:hint="eastAsia"/>
        </w:rPr>
        <w:t>刘占卿</w:t>
      </w:r>
      <w:r>
        <w:rPr>
          <w:rFonts w:ascii="Times New Roman" w:eastAsia="宋体" w:hAnsi="Times New Roman" w:cs="Times New Roman" w:hint="eastAsia"/>
        </w:rPr>
        <w:t xml:space="preserve">. </w:t>
      </w:r>
      <w:r>
        <w:rPr>
          <w:rFonts w:ascii="Times New Roman" w:eastAsia="宋体" w:hAnsi="Times New Roman" w:cs="Times New Roman" w:hint="eastAsia"/>
        </w:rPr>
        <w:t>油库加油站设计数据图表手册</w:t>
      </w:r>
      <w:r>
        <w:rPr>
          <w:rFonts w:ascii="Times New Roman" w:eastAsia="宋体" w:hAnsi="Times New Roman" w:cs="Times New Roman" w:hint="eastAsia"/>
        </w:rPr>
        <w:t xml:space="preserve">[M]. </w:t>
      </w:r>
      <w:r>
        <w:rPr>
          <w:rFonts w:ascii="Times New Roman" w:eastAsia="宋体" w:hAnsi="Times New Roman" w:cs="Times New Roman" w:hint="eastAsia"/>
        </w:rPr>
        <w:t>北京</w:t>
      </w:r>
      <w:r>
        <w:rPr>
          <w:rFonts w:ascii="Times New Roman" w:eastAsia="宋体" w:hAnsi="Times New Roman" w:cs="Times New Roman" w:hint="eastAsia"/>
        </w:rPr>
        <w:t xml:space="preserve">: </w:t>
      </w:r>
      <w:r>
        <w:rPr>
          <w:rFonts w:ascii="Times New Roman" w:eastAsia="宋体" w:hAnsi="Times New Roman" w:cs="Times New Roman" w:hint="eastAsia"/>
        </w:rPr>
        <w:t>中国石化出版社</w:t>
      </w:r>
      <w:r>
        <w:rPr>
          <w:rFonts w:ascii="Times New Roman" w:eastAsia="宋体" w:hAnsi="Times New Roman" w:cs="Times New Roman" w:hint="eastAsia"/>
        </w:rPr>
        <w:t>, 2015.</w:t>
      </w:r>
    </w:p>
    <w:p w14:paraId="0B833E91" w14:textId="4504090E" w:rsidR="00E01F13" w:rsidRDefault="00E01F13" w:rsidP="00E01F13">
      <w:pPr>
        <w:keepNext/>
        <w:jc w:val="left"/>
        <w:rPr>
          <w:rFonts w:ascii="Times New Roman" w:eastAsia="宋体" w:hAnsi="Times New Roman" w:cs="Times New Roman" w:hint="eastAsia"/>
        </w:rPr>
      </w:pPr>
      <w:r>
        <w:rPr>
          <w:rFonts w:ascii="Times New Roman" w:eastAsia="宋体" w:hAnsi="Times New Roman" w:cs="Times New Roman" w:hint="eastAsia"/>
        </w:rPr>
        <w:t xml:space="preserve">[19] </w:t>
      </w:r>
      <w:r>
        <w:rPr>
          <w:rFonts w:ascii="Times New Roman" w:eastAsia="宋体" w:hAnsi="Times New Roman" w:cs="Times New Roman" w:hint="eastAsia"/>
        </w:rPr>
        <w:t>油库毕业设计指导书</w:t>
      </w:r>
      <w:r>
        <w:rPr>
          <w:rFonts w:ascii="Times New Roman" w:eastAsia="宋体" w:hAnsi="Times New Roman" w:cs="Times New Roman" w:hint="eastAsia"/>
        </w:rPr>
        <w:t xml:space="preserve">[Z]. </w:t>
      </w:r>
      <w:r>
        <w:rPr>
          <w:rFonts w:ascii="Times New Roman" w:eastAsia="宋体" w:hAnsi="Times New Roman" w:cs="Times New Roman" w:hint="eastAsia"/>
        </w:rPr>
        <w:t>第五章“油库设计”</w:t>
      </w:r>
      <w:r>
        <w:rPr>
          <w:rFonts w:ascii="Times New Roman" w:eastAsia="宋体" w:hAnsi="Times New Roman" w:cs="Times New Roman" w:hint="eastAsia"/>
        </w:rPr>
        <w:t>: 144-146.</w:t>
      </w:r>
    </w:p>
    <w:p w14:paraId="0C0671FE" w14:textId="6E4FE0EE" w:rsidR="00E01F13" w:rsidRDefault="00E01F13" w:rsidP="00E01F13">
      <w:pPr>
        <w:keepNext/>
        <w:jc w:val="left"/>
        <w:rPr>
          <w:rFonts w:ascii="Times New Roman" w:eastAsia="宋体" w:hAnsi="Times New Roman" w:cs="Times New Roman" w:hint="eastAsia"/>
        </w:rPr>
      </w:pPr>
      <w:r>
        <w:rPr>
          <w:rFonts w:ascii="Times New Roman" w:eastAsia="宋体" w:hAnsi="Times New Roman" w:cs="Times New Roman" w:hint="eastAsia"/>
        </w:rPr>
        <w:t xml:space="preserve">[20] </w:t>
      </w:r>
      <w:r>
        <w:rPr>
          <w:rFonts w:ascii="Times New Roman" w:eastAsia="宋体" w:hAnsi="Times New Roman" w:cs="Times New Roman" w:hint="eastAsia"/>
        </w:rPr>
        <w:t>浅谈石油库总平面布置——合理的进行油库总平面布置</w:t>
      </w:r>
      <w:r>
        <w:rPr>
          <w:rFonts w:ascii="Times New Roman" w:eastAsia="宋体" w:hAnsi="Times New Roman" w:cs="Times New Roman" w:hint="eastAsia"/>
        </w:rPr>
        <w:t>[Z]. 2011(06): 16-17.</w:t>
      </w:r>
    </w:p>
    <w:p w14:paraId="6A468C28" w14:textId="2F7BBAE4" w:rsidR="00E01F13" w:rsidRDefault="00E01F13" w:rsidP="00E01F13">
      <w:pPr>
        <w:keepNext/>
        <w:jc w:val="left"/>
        <w:rPr>
          <w:rFonts w:ascii="Times New Roman" w:eastAsia="宋体" w:hAnsi="Times New Roman" w:cs="Times New Roman" w:hint="eastAsia"/>
        </w:rPr>
      </w:pPr>
      <w:r>
        <w:rPr>
          <w:rFonts w:ascii="Times New Roman" w:eastAsia="宋体" w:hAnsi="Times New Roman" w:cs="Times New Roman" w:hint="eastAsia"/>
        </w:rPr>
        <w:t xml:space="preserve">[21] </w:t>
      </w:r>
      <w:r>
        <w:rPr>
          <w:rFonts w:ascii="Times New Roman" w:eastAsia="宋体" w:hAnsi="Times New Roman" w:cs="Times New Roman" w:hint="eastAsia"/>
        </w:rPr>
        <w:t>某油库工艺设计</w:t>
      </w:r>
      <w:r>
        <w:rPr>
          <w:rFonts w:ascii="Times New Roman" w:eastAsia="宋体" w:hAnsi="Times New Roman" w:cs="Times New Roman" w:hint="eastAsia"/>
        </w:rPr>
        <w:t xml:space="preserve">[Z]. </w:t>
      </w:r>
      <w:r>
        <w:rPr>
          <w:rFonts w:ascii="Times New Roman" w:eastAsia="宋体" w:hAnsi="Times New Roman" w:cs="Times New Roman" w:hint="eastAsia"/>
        </w:rPr>
        <w:t>第二章“总平面布置”</w:t>
      </w:r>
      <w:r>
        <w:rPr>
          <w:rFonts w:ascii="Times New Roman" w:eastAsia="宋体" w:hAnsi="Times New Roman" w:cs="Times New Roman" w:hint="eastAsia"/>
        </w:rPr>
        <w:t>.</w:t>
      </w:r>
    </w:p>
    <w:p w14:paraId="59EE4AF3" w14:textId="77777777" w:rsidR="00E01F13" w:rsidRPr="00E01F13" w:rsidRDefault="00E01F13" w:rsidP="00E01F13">
      <w:pPr>
        <w:keepNext/>
        <w:jc w:val="left"/>
        <w:rPr>
          <w:rFonts w:ascii="Times New Roman" w:eastAsia="宋体" w:hAnsi="Times New Roman" w:cs="Times New Roman" w:hint="eastAsia"/>
        </w:rPr>
      </w:pPr>
    </w:p>
    <w:sectPr w:rsidR="00E01F13" w:rsidRPr="00E01F13" w:rsidSect="00E01F13">
      <w:pgSz w:w="11906" w:h="16838"/>
      <w:pgMar w:top="1417" w:right="1361" w:bottom="1417" w:left="1474" w:header="850" w:footer="850"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F13"/>
    <w:rsid w:val="00C56F59"/>
    <w:rsid w:val="00C757D1"/>
    <w:rsid w:val="00E01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3CB3B"/>
  <w15:chartTrackingRefBased/>
  <w15:docId w15:val="{FEE5BDE0-64E9-4590-9E0D-14D068BB2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01F1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01F1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01F1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01F1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01F1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01F1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01F1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01F1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01F1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01F1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01F1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01F1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01F13"/>
    <w:rPr>
      <w:rFonts w:cstheme="majorBidi"/>
      <w:color w:val="0F4761" w:themeColor="accent1" w:themeShade="BF"/>
      <w:sz w:val="28"/>
      <w:szCs w:val="28"/>
    </w:rPr>
  </w:style>
  <w:style w:type="character" w:customStyle="1" w:styleId="50">
    <w:name w:val="标题 5 字符"/>
    <w:basedOn w:val="a0"/>
    <w:link w:val="5"/>
    <w:uiPriority w:val="9"/>
    <w:semiHidden/>
    <w:rsid w:val="00E01F13"/>
    <w:rPr>
      <w:rFonts w:cstheme="majorBidi"/>
      <w:color w:val="0F4761" w:themeColor="accent1" w:themeShade="BF"/>
      <w:sz w:val="24"/>
      <w:szCs w:val="24"/>
    </w:rPr>
  </w:style>
  <w:style w:type="character" w:customStyle="1" w:styleId="60">
    <w:name w:val="标题 6 字符"/>
    <w:basedOn w:val="a0"/>
    <w:link w:val="6"/>
    <w:uiPriority w:val="9"/>
    <w:semiHidden/>
    <w:rsid w:val="00E01F13"/>
    <w:rPr>
      <w:rFonts w:cstheme="majorBidi"/>
      <w:b/>
      <w:bCs/>
      <w:color w:val="0F4761" w:themeColor="accent1" w:themeShade="BF"/>
    </w:rPr>
  </w:style>
  <w:style w:type="character" w:customStyle="1" w:styleId="70">
    <w:name w:val="标题 7 字符"/>
    <w:basedOn w:val="a0"/>
    <w:link w:val="7"/>
    <w:uiPriority w:val="9"/>
    <w:semiHidden/>
    <w:rsid w:val="00E01F13"/>
    <w:rPr>
      <w:rFonts w:cstheme="majorBidi"/>
      <w:b/>
      <w:bCs/>
      <w:color w:val="595959" w:themeColor="text1" w:themeTint="A6"/>
    </w:rPr>
  </w:style>
  <w:style w:type="character" w:customStyle="1" w:styleId="80">
    <w:name w:val="标题 8 字符"/>
    <w:basedOn w:val="a0"/>
    <w:link w:val="8"/>
    <w:uiPriority w:val="9"/>
    <w:semiHidden/>
    <w:rsid w:val="00E01F13"/>
    <w:rPr>
      <w:rFonts w:cstheme="majorBidi"/>
      <w:color w:val="595959" w:themeColor="text1" w:themeTint="A6"/>
    </w:rPr>
  </w:style>
  <w:style w:type="character" w:customStyle="1" w:styleId="90">
    <w:name w:val="标题 9 字符"/>
    <w:basedOn w:val="a0"/>
    <w:link w:val="9"/>
    <w:uiPriority w:val="9"/>
    <w:semiHidden/>
    <w:rsid w:val="00E01F13"/>
    <w:rPr>
      <w:rFonts w:eastAsiaTheme="majorEastAsia" w:cstheme="majorBidi"/>
      <w:color w:val="595959" w:themeColor="text1" w:themeTint="A6"/>
    </w:rPr>
  </w:style>
  <w:style w:type="paragraph" w:styleId="a3">
    <w:name w:val="Title"/>
    <w:basedOn w:val="a"/>
    <w:next w:val="a"/>
    <w:link w:val="a4"/>
    <w:uiPriority w:val="10"/>
    <w:qFormat/>
    <w:rsid w:val="00E01F1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01F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1F1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01F1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1F13"/>
    <w:pPr>
      <w:spacing w:before="160" w:after="160"/>
      <w:jc w:val="center"/>
    </w:pPr>
    <w:rPr>
      <w:i/>
      <w:iCs/>
      <w:color w:val="404040" w:themeColor="text1" w:themeTint="BF"/>
    </w:rPr>
  </w:style>
  <w:style w:type="character" w:customStyle="1" w:styleId="a8">
    <w:name w:val="引用 字符"/>
    <w:basedOn w:val="a0"/>
    <w:link w:val="a7"/>
    <w:uiPriority w:val="29"/>
    <w:rsid w:val="00E01F13"/>
    <w:rPr>
      <w:i/>
      <w:iCs/>
      <w:color w:val="404040" w:themeColor="text1" w:themeTint="BF"/>
    </w:rPr>
  </w:style>
  <w:style w:type="paragraph" w:styleId="a9">
    <w:name w:val="List Paragraph"/>
    <w:basedOn w:val="a"/>
    <w:uiPriority w:val="34"/>
    <w:qFormat/>
    <w:rsid w:val="00E01F13"/>
    <w:pPr>
      <w:ind w:left="720"/>
      <w:contextualSpacing/>
    </w:pPr>
  </w:style>
  <w:style w:type="character" w:styleId="aa">
    <w:name w:val="Intense Emphasis"/>
    <w:basedOn w:val="a0"/>
    <w:uiPriority w:val="21"/>
    <w:qFormat/>
    <w:rsid w:val="00E01F13"/>
    <w:rPr>
      <w:i/>
      <w:iCs/>
      <w:color w:val="0F4761" w:themeColor="accent1" w:themeShade="BF"/>
    </w:rPr>
  </w:style>
  <w:style w:type="paragraph" w:styleId="ab">
    <w:name w:val="Intense Quote"/>
    <w:basedOn w:val="a"/>
    <w:next w:val="a"/>
    <w:link w:val="ac"/>
    <w:uiPriority w:val="30"/>
    <w:qFormat/>
    <w:rsid w:val="00E01F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01F13"/>
    <w:rPr>
      <w:i/>
      <w:iCs/>
      <w:color w:val="0F4761" w:themeColor="accent1" w:themeShade="BF"/>
    </w:rPr>
  </w:style>
  <w:style w:type="character" w:styleId="ad">
    <w:name w:val="Intense Reference"/>
    <w:basedOn w:val="a0"/>
    <w:uiPriority w:val="32"/>
    <w:qFormat/>
    <w:rsid w:val="00E01F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461</Words>
  <Characters>2630</Characters>
  <Application>Microsoft Office Word</Application>
  <DocSecurity>0</DocSecurity>
  <Lines>21</Lines>
  <Paragraphs>6</Paragraphs>
  <ScaleCrop>false</ScaleCrop>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 L</dc:creator>
  <cp:keywords/>
  <dc:description/>
  <cp:lastModifiedBy>ing L</cp:lastModifiedBy>
  <cp:revision>1</cp:revision>
  <dcterms:created xsi:type="dcterms:W3CDTF">2026-07-17T15:20:00Z</dcterms:created>
  <dcterms:modified xsi:type="dcterms:W3CDTF">2026-07-17T15:20:00Z</dcterms:modified>
</cp:coreProperties>
</file>