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120" w:after="120" w:line="360" w:lineRule="auto"/>
        <w:jc w:val="left"/>
      </w:pPr>
      <w:r>
        <w:rPr>
          <w:rFonts w:ascii="Times New Roman" w:hAnsi="Times New Roman" w:eastAsia="黑体"/>
          <w:b/>
          <w:sz w:val="32"/>
        </w:rPr>
        <w:t>3.2.3  竖向及排水设计</w:t>
      </w:r>
    </w:p>
    <w:p>
      <w:pPr>
        <w:keepNext/>
        <w:widowControl/>
        <w:spacing w:before="100" w:after="60" w:line="360" w:lineRule="auto"/>
        <w:jc w:val="left"/>
      </w:pPr>
      <w:r>
        <w:rPr>
          <w:rFonts w:ascii="Times New Roman" w:hAnsi="Times New Roman" w:eastAsia="黑体"/>
          <w:b/>
          <w:sz w:val="24"/>
        </w:rPr>
        <w:t>（1）设计依据与基本条件</w:t>
      </w:r>
    </w:p>
    <w:p>
      <w:pPr>
        <w:widowControl/>
        <w:spacing w:line="360" w:lineRule="auto"/>
        <w:ind w:firstLine="480"/>
        <w:jc w:val="both"/>
      </w:pPr>
      <w:r>
        <w:rPr>
          <w:rFonts w:ascii="Times New Roman" w:hAnsi="Times New Roman" w:eastAsia="宋体"/>
          <w:b w:val="0"/>
          <w:sz w:val="24"/>
        </w:rPr>
        <w:t>本项目拟建于广州市黄埔区广深公路主干道两侧，总用地约52万m²。建设参数给定：年平均气温22.6 ℃，最热月月平均气温29.3 ℃，最冷月月平均气温14.2 ℃，绝对最高气温39 ℃，绝对最低气温1.8 ℃；年平均降雨量2240 mm，最大日降雨量346 mm，平均降雨日数153 d；主导风向偏北，年平均风速2.0 m/s，最大风速32.8 m/s。黄埔区降雨丰沛且短历时强降雨显著，因此竖向设计除满足工艺高程衔接外，应把防洪排涝、雨污分流、事故水截流和外部道路雨水防倒灌作为主要控制条件。上述气候数值为本设计任务给定参数，不作为外部文献统计值使用。</w:t>
      </w:r>
    </w:p>
    <w:p>
      <w:pPr>
        <w:widowControl/>
        <w:spacing w:line="360" w:lineRule="auto"/>
        <w:ind w:firstLine="480"/>
        <w:jc w:val="both"/>
      </w:pPr>
      <w:r>
        <w:rPr>
          <w:rFonts w:ascii="Times New Roman" w:hAnsi="Times New Roman" w:eastAsia="宋体"/>
          <w:b w:val="0"/>
          <w:sz w:val="24"/>
        </w:rPr>
        <w:t>本节以现行《石油库设计规范》GB 50074—2014、《室外排水设计标准》GB 50014—2021、《工业企业总平面设计规范》GB 50187—2012及《防洪标准》GB 50201—2014为主要规范依据。GB 50074—2014第5.3.1条要求场地设计标高避免洪水、潮水和内涝威胁；临近江河、湖泊时，库区最低设计标高应按设计频率水位和安全超高确定，不能满足时必须采取可靠防洪排涝措施。该规范第5.3.2条还要求行政管理设施、消防泵房、专用消防站及总变电所等重要设施布置在相对较高位置，或设置防止事故流淌火侵害的措施。</w:t>
      </w:r>
    </w:p>
    <w:p>
      <w:pPr>
        <w:widowControl/>
        <w:spacing w:line="360" w:lineRule="auto"/>
        <w:ind w:firstLine="480"/>
        <w:jc w:val="both"/>
      </w:pPr>
      <w:r>
        <w:rPr>
          <w:rFonts w:ascii="Times New Roman" w:hAnsi="Times New Roman" w:eastAsia="宋体"/>
          <w:b w:val="0"/>
          <w:sz w:val="24"/>
        </w:rPr>
        <w:t>现阶段尚缺1∶500地形测量图、道路实测标高、规划排水接驳管底标高、设计洪（潮）水位、地下水位及工程地质资料，故本节采用相对标高和控制关系完成方案设计，不虚构绝对高程。施工图阶段应以黄海高程系测量成果建立统一基准H₀，并经防洪影响、内涝风险和外排条件复核后确定各区绝对标高。油库竖向设计通常需要在工艺顺畅、排水可靠和土方平衡之间综合比选</w:t>
      </w:r>
      <w:r>
        <w:rPr>
          <w:rFonts w:ascii="Times New Roman" w:hAnsi="Times New Roman" w:eastAsia="宋体"/>
          <w:b w:val="0"/>
          <w:sz w:val="24"/>
          <w:vertAlign w:val="superscript"/>
        </w:rPr>
        <w:t>[18]</w:t>
      </w:r>
      <w:r>
        <w:rPr>
          <w:rFonts w:ascii="Times New Roman" w:hAnsi="Times New Roman" w:eastAsia="宋体"/>
          <w:b w:val="0"/>
          <w:sz w:val="24"/>
          <w:vertAlign w:val="superscript"/>
        </w:rPr>
        <w:t>[19]</w:t>
      </w:r>
      <w:r>
        <w:rPr>
          <w:rFonts w:ascii="Times New Roman" w:hAnsi="Times New Roman" w:eastAsia="宋体"/>
          <w:b w:val="0"/>
          <w:sz w:val="24"/>
        </w:rPr>
        <w:t>；既有总平面研究和案例仅作为布置方法校核，不替代现行规范和本项目实测资料</w:t>
      </w:r>
      <w:r>
        <w:rPr>
          <w:rFonts w:ascii="Times New Roman" w:hAnsi="Times New Roman" w:eastAsia="宋体"/>
          <w:b w:val="0"/>
          <w:sz w:val="24"/>
          <w:vertAlign w:val="superscript"/>
        </w:rPr>
        <w:t>[20]</w:t>
      </w:r>
      <w:r>
        <w:rPr>
          <w:rFonts w:ascii="Times New Roman" w:hAnsi="Times New Roman" w:eastAsia="宋体"/>
          <w:b w:val="0"/>
          <w:sz w:val="24"/>
          <w:vertAlign w:val="superscript"/>
        </w:rPr>
        <w:t>[21]</w:t>
      </w:r>
      <w:r>
        <w:rPr>
          <w:rFonts w:ascii="Times New Roman" w:hAnsi="Times New Roman" w:eastAsia="宋体"/>
          <w:b w:val="0"/>
          <w:sz w:val="24"/>
        </w:rPr>
        <w:t>。</w:t>
      </w:r>
    </w:p>
    <w:p>
      <w:pPr>
        <w:keepNext/>
        <w:widowControl/>
        <w:spacing w:before="100" w:after="60" w:line="360" w:lineRule="auto"/>
        <w:jc w:val="left"/>
      </w:pPr>
      <w:r>
        <w:rPr>
          <w:rFonts w:ascii="Times New Roman" w:hAnsi="Times New Roman" w:eastAsia="黑体"/>
          <w:b/>
          <w:sz w:val="24"/>
        </w:rPr>
        <w:t>（2）竖向布置方式</w:t>
      </w:r>
    </w:p>
    <w:p>
      <w:pPr>
        <w:widowControl/>
        <w:spacing w:line="360" w:lineRule="auto"/>
        <w:ind w:firstLine="480"/>
        <w:jc w:val="both"/>
      </w:pPr>
      <w:r>
        <w:rPr>
          <w:rFonts w:ascii="Times New Roman" w:hAnsi="Times New Roman" w:eastAsia="宋体"/>
          <w:b w:val="0"/>
          <w:sz w:val="24"/>
        </w:rPr>
        <w:t>结合52万m²用地规模及广深公路将场址分隔为两侧地块的特点，本设计采用“分地块独立控制、分区台阶式整平、场地缓坡有组织排水”的竖向形式。道路两侧地块分别建立汇水边界、竖向控制点和排水出口，不把市政主干道作为库内排水通道，也不在未经主管部门批准的情况下布置跨越道路的重力排水管。两侧地块的雨水、含油污水和事故水系统均独立截流、计量和控制，必要时在库内经提升后统一处理，避免因道路标高差或管网顶托造成相互倒灌。</w:t>
      </w:r>
    </w:p>
    <w:p>
      <w:pPr>
        <w:widowControl/>
        <w:spacing w:line="360" w:lineRule="auto"/>
        <w:ind w:firstLine="480"/>
        <w:jc w:val="both"/>
      </w:pPr>
      <w:r>
        <w:rPr>
          <w:rFonts w:ascii="Times New Roman" w:hAnsi="Times New Roman" w:eastAsia="宋体"/>
          <w:b w:val="0"/>
          <w:sz w:val="24"/>
        </w:rPr>
        <w:t>竖向总体关系按“重要设施高、污染收集设施低、工艺衔接顺、外水不进入”的原则组织。储油区的罐基础和环形消防车道作为高程控制核心；消防泵房、变配电间、中控室及行政管理区不得布置在地块汇水低点；含油污水调节池、初期雨水池和事故应急池布置在各自服务地块的水力低处，但池顶及电气、控制设备应高于设计内涝水位，并设置防倒灌和可靠切断。公路装车区靠近广深公路布置时，场坪高程应与道路出入口纵坡平顺衔接，同时在出入口内侧设置截水沟或线性排水沟，禁止外部道路径流进入装车场。</w:t>
      </w:r>
    </w:p>
    <w:p>
      <w:pPr>
        <w:widowControl/>
        <w:spacing w:line="360" w:lineRule="auto"/>
        <w:ind w:firstLine="480"/>
        <w:jc w:val="both"/>
      </w:pPr>
      <w:r>
        <w:rPr>
          <w:rFonts w:ascii="Times New Roman" w:hAnsi="Times New Roman" w:eastAsia="宋体"/>
          <w:b w:val="0"/>
          <w:sz w:val="24"/>
        </w:rPr>
        <w:t>各区不得简单按“储油区最高、装卸区最低”机械排序。若天然地形与工艺重力流向不一致，应通过局部台阶、短距离重力管与提升设施组合解决，避免为追求单一高差而大挖大填。场地坡向应避开罐基础、建筑物入口、变配电间和消防泵房；装车场及泵棚地坪应坡向含油收集沟，清洁区地面则坡向雨水口。道路、场坪和建筑散水之间应连续衔接，不形成封闭洼地。</w:t>
      </w:r>
    </w:p>
    <w:p>
      <w:pPr>
        <w:widowControl/>
        <w:spacing w:line="360" w:lineRule="auto"/>
        <w:ind w:firstLine="420"/>
        <w:jc w:val="both"/>
      </w:pPr>
      <w:r>
        <w:rPr>
          <w:rFonts w:ascii="Times New Roman" w:hAnsi="Times New Roman" w:eastAsia="宋体"/>
          <w:b w:val="0"/>
          <w:sz w:val="21"/>
        </w:rPr>
        <w:t>表3-×  主要设施相对标高控制关系</w:t>
      </w:r>
    </w:p>
    <w:tbl>
      <w:tblPr>
        <w:tblStyle w:val="TableGrid"/>
        <w:tblW w:type="auto" w:w="0"/>
        <w:jc w:val="center"/>
        <w:tblLook w:firstColumn="1" w:firstRow="1" w:lastColumn="0" w:lastRow="0" w:noHBand="0" w:noVBand="1" w:val="04A0"/>
      </w:tblPr>
      <w:tblGrid>
        <w:gridCol w:w="1701"/>
        <w:gridCol w:w="2551"/>
        <w:gridCol w:w="3005"/>
        <w:gridCol w:w="1814"/>
      </w:tblGrid>
      <w:tr>
        <w:tc>
          <w:tcPr>
            <w:tcW w:type="dxa" w:w="2268"/>
            <w:vAlign w:val="center"/>
            <w:shd w:fill="D9EAF7"/>
          </w:tcPr>
          <w:p>
            <w:pPr>
              <w:spacing w:after="0" w:line="240" w:lineRule="exact"/>
              <w:jc w:val="center"/>
            </w:pPr>
            <w:r/>
            <w:r>
              <w:rPr>
                <w:rFonts w:ascii="Times New Roman" w:hAnsi="Times New Roman" w:eastAsia="黑体"/>
                <w:b/>
                <w:sz w:val="19"/>
              </w:rPr>
              <w:t>设施或区域</w:t>
            </w:r>
          </w:p>
        </w:tc>
        <w:tc>
          <w:tcPr>
            <w:tcW w:type="dxa" w:w="2268"/>
            <w:vAlign w:val="center"/>
            <w:shd w:fill="D9EAF7"/>
          </w:tcPr>
          <w:p>
            <w:pPr>
              <w:spacing w:after="0" w:line="240" w:lineRule="exact"/>
              <w:jc w:val="center"/>
            </w:pPr>
            <w:r/>
            <w:r>
              <w:rPr>
                <w:rFonts w:ascii="Times New Roman" w:hAnsi="Times New Roman" w:eastAsia="黑体"/>
                <w:b/>
                <w:sz w:val="19"/>
              </w:rPr>
              <w:t>本阶段竖向控制</w:t>
            </w:r>
          </w:p>
        </w:tc>
        <w:tc>
          <w:tcPr>
            <w:tcW w:type="dxa" w:w="2268"/>
            <w:vAlign w:val="center"/>
            <w:shd w:fill="D9EAF7"/>
          </w:tcPr>
          <w:p>
            <w:pPr>
              <w:spacing w:after="0" w:line="240" w:lineRule="exact"/>
              <w:jc w:val="center"/>
            </w:pPr>
            <w:r/>
            <w:r>
              <w:rPr>
                <w:rFonts w:ascii="Times New Roman" w:hAnsi="Times New Roman" w:eastAsia="黑体"/>
                <w:b/>
                <w:sz w:val="19"/>
              </w:rPr>
              <w:t>排水方向与措施</w:t>
            </w:r>
          </w:p>
        </w:tc>
        <w:tc>
          <w:tcPr>
            <w:tcW w:type="dxa" w:w="2268"/>
            <w:vAlign w:val="center"/>
            <w:shd w:fill="D9EAF7"/>
          </w:tcPr>
          <w:p>
            <w:pPr>
              <w:spacing w:after="0" w:line="240" w:lineRule="exact"/>
              <w:jc w:val="center"/>
            </w:pPr>
            <w:r/>
            <w:r>
              <w:rPr>
                <w:rFonts w:ascii="Times New Roman" w:hAnsi="Times New Roman" w:eastAsia="黑体"/>
                <w:b/>
                <w:sz w:val="19"/>
              </w:rPr>
              <w:t>规范或设计依据</w:t>
            </w:r>
          </w:p>
        </w:tc>
      </w:tr>
      <w:tr>
        <w:tc>
          <w:tcPr>
            <w:tcW w:type="dxa" w:w="2268"/>
            <w:vAlign w:val="center"/>
          </w:tcPr>
          <w:p>
            <w:pPr>
              <w:spacing w:after="0" w:line="240" w:lineRule="exact"/>
              <w:jc w:val="center"/>
            </w:pPr>
            <w:r/>
            <w:r>
              <w:rPr>
                <w:rFonts w:ascii="Times New Roman" w:hAnsi="Times New Roman" w:eastAsia="宋体"/>
                <w:b w:val="0"/>
                <w:sz w:val="19"/>
              </w:rPr>
              <w:t>立式储罐基础</w:t>
            </w:r>
          </w:p>
        </w:tc>
        <w:tc>
          <w:tcPr>
            <w:tcW w:type="dxa" w:w="2268"/>
            <w:vAlign w:val="center"/>
          </w:tcPr>
          <w:p>
            <w:pPr>
              <w:spacing w:after="0" w:line="240" w:lineRule="exact"/>
              <w:jc w:val="center"/>
            </w:pPr>
            <w:r/>
            <w:r>
              <w:rPr>
                <w:rFonts w:ascii="Times New Roman" w:hAnsi="Times New Roman" w:eastAsia="宋体"/>
                <w:b w:val="0"/>
                <w:sz w:val="19"/>
              </w:rPr>
              <w:t>基础面高出周围设计地坪不小于0.50 m</w:t>
            </w:r>
          </w:p>
        </w:tc>
        <w:tc>
          <w:tcPr>
            <w:tcW w:type="dxa" w:w="2268"/>
            <w:vAlign w:val="center"/>
          </w:tcPr>
          <w:p>
            <w:pPr>
              <w:spacing w:after="0" w:line="240" w:lineRule="exact"/>
              <w:jc w:val="center"/>
            </w:pPr>
            <w:r/>
            <w:r>
              <w:rPr>
                <w:rFonts w:ascii="Times New Roman" w:hAnsi="Times New Roman" w:eastAsia="宋体"/>
                <w:b w:val="0"/>
                <w:sz w:val="19"/>
              </w:rPr>
              <w:t>罐基础外缘向防火堤内集水设施排水，禁止冲刷基础</w:t>
            </w:r>
          </w:p>
        </w:tc>
        <w:tc>
          <w:tcPr>
            <w:tcW w:type="dxa" w:w="2268"/>
            <w:vAlign w:val="center"/>
          </w:tcPr>
          <w:p>
            <w:pPr>
              <w:spacing w:after="0" w:line="240" w:lineRule="exact"/>
              <w:jc w:val="center"/>
            </w:pPr>
            <w:r/>
            <w:r>
              <w:rPr>
                <w:rFonts w:ascii="Times New Roman" w:hAnsi="Times New Roman" w:eastAsia="宋体"/>
                <w:b w:val="0"/>
                <w:sz w:val="19"/>
              </w:rPr>
              <w:t>GB 50074—2014第6.1.14条</w:t>
            </w:r>
          </w:p>
        </w:tc>
      </w:tr>
      <w:tr>
        <w:tc>
          <w:tcPr>
            <w:tcW w:type="dxa" w:w="2268"/>
            <w:vAlign w:val="center"/>
          </w:tcPr>
          <w:p>
            <w:pPr>
              <w:spacing w:after="0" w:line="240" w:lineRule="exact"/>
              <w:jc w:val="center"/>
            </w:pPr>
            <w:r/>
            <w:r>
              <w:rPr>
                <w:rFonts w:ascii="Times New Roman" w:hAnsi="Times New Roman" w:eastAsia="宋体"/>
                <w:b w:val="0"/>
                <w:sz w:val="19"/>
              </w:rPr>
              <w:t>罐组环形消防车道</w:t>
            </w:r>
          </w:p>
        </w:tc>
        <w:tc>
          <w:tcPr>
            <w:tcW w:type="dxa" w:w="2268"/>
            <w:vAlign w:val="center"/>
          </w:tcPr>
          <w:p>
            <w:pPr>
              <w:spacing w:after="0" w:line="240" w:lineRule="exact"/>
              <w:jc w:val="center"/>
            </w:pPr>
            <w:r/>
            <w:r>
              <w:rPr>
                <w:rFonts w:ascii="Times New Roman" w:hAnsi="Times New Roman" w:eastAsia="宋体"/>
                <w:b w:val="0"/>
                <w:sz w:val="19"/>
              </w:rPr>
              <w:t>路面高出防火堤外侧地面不小于0.50 m；受较高地形限制时不得低于0.30 m</w:t>
            </w:r>
          </w:p>
        </w:tc>
        <w:tc>
          <w:tcPr>
            <w:tcW w:type="dxa" w:w="2268"/>
            <w:vAlign w:val="center"/>
          </w:tcPr>
          <w:p>
            <w:pPr>
              <w:spacing w:after="0" w:line="240" w:lineRule="exact"/>
              <w:jc w:val="center"/>
            </w:pPr>
            <w:r/>
            <w:r>
              <w:rPr>
                <w:rFonts w:ascii="Times New Roman" w:hAnsi="Times New Roman" w:eastAsia="宋体"/>
                <w:b w:val="0"/>
                <w:sz w:val="19"/>
              </w:rPr>
              <w:t>双向分散至清洁雨水口，不向防火堤内排放</w:t>
            </w:r>
          </w:p>
        </w:tc>
        <w:tc>
          <w:tcPr>
            <w:tcW w:type="dxa" w:w="2268"/>
            <w:vAlign w:val="center"/>
          </w:tcPr>
          <w:p>
            <w:pPr>
              <w:spacing w:after="0" w:line="240" w:lineRule="exact"/>
              <w:jc w:val="center"/>
            </w:pPr>
            <w:r/>
            <w:r>
              <w:rPr>
                <w:rFonts w:ascii="Times New Roman" w:hAnsi="Times New Roman" w:eastAsia="宋体"/>
                <w:b w:val="0"/>
                <w:sz w:val="19"/>
              </w:rPr>
              <w:t>GB 50074—2014第5.2.6条</w:t>
            </w:r>
          </w:p>
        </w:tc>
      </w:tr>
      <w:tr>
        <w:tc>
          <w:tcPr>
            <w:tcW w:type="dxa" w:w="2268"/>
            <w:vAlign w:val="center"/>
          </w:tcPr>
          <w:p>
            <w:pPr>
              <w:spacing w:after="0" w:line="240" w:lineRule="exact"/>
              <w:jc w:val="center"/>
            </w:pPr>
            <w:r/>
            <w:r>
              <w:rPr>
                <w:rFonts w:ascii="Times New Roman" w:hAnsi="Times New Roman" w:eastAsia="宋体"/>
                <w:b w:val="0"/>
                <w:sz w:val="19"/>
              </w:rPr>
              <w:t>防火堤内场地</w:t>
            </w:r>
          </w:p>
        </w:tc>
        <w:tc>
          <w:tcPr>
            <w:tcW w:type="dxa" w:w="2268"/>
            <w:vAlign w:val="center"/>
          </w:tcPr>
          <w:p>
            <w:pPr>
              <w:spacing w:after="0" w:line="240" w:lineRule="exact"/>
              <w:jc w:val="center"/>
            </w:pPr>
            <w:r/>
            <w:r>
              <w:rPr>
                <w:rFonts w:ascii="Times New Roman" w:hAnsi="Times New Roman" w:eastAsia="宋体"/>
                <w:b w:val="0"/>
                <w:sz w:val="19"/>
              </w:rPr>
              <w:t>低于罐基础面并坡向可控集水井</w:t>
            </w:r>
          </w:p>
        </w:tc>
        <w:tc>
          <w:tcPr>
            <w:tcW w:type="dxa" w:w="2268"/>
            <w:vAlign w:val="center"/>
          </w:tcPr>
          <w:p>
            <w:pPr>
              <w:spacing w:after="0" w:line="240" w:lineRule="exact"/>
              <w:jc w:val="center"/>
            </w:pPr>
            <w:r/>
            <w:r>
              <w:rPr>
                <w:rFonts w:ascii="Times New Roman" w:hAnsi="Times New Roman" w:eastAsia="宋体"/>
                <w:b w:val="0"/>
                <w:sz w:val="19"/>
              </w:rPr>
              <w:t>排水口设堤外切断；初期污染雨水进入含油系统</w:t>
            </w:r>
          </w:p>
        </w:tc>
        <w:tc>
          <w:tcPr>
            <w:tcW w:type="dxa" w:w="2268"/>
            <w:vAlign w:val="center"/>
          </w:tcPr>
          <w:p>
            <w:pPr>
              <w:spacing w:after="0" w:line="240" w:lineRule="exact"/>
              <w:jc w:val="center"/>
            </w:pPr>
            <w:r/>
            <w:r>
              <w:rPr>
                <w:rFonts w:ascii="Times New Roman" w:hAnsi="Times New Roman" w:eastAsia="宋体"/>
                <w:b w:val="0"/>
                <w:sz w:val="19"/>
              </w:rPr>
              <w:t>GB 50074—2014第6.5.6、13.2.2条</w:t>
            </w:r>
          </w:p>
        </w:tc>
      </w:tr>
      <w:tr>
        <w:tc>
          <w:tcPr>
            <w:tcW w:type="dxa" w:w="2268"/>
            <w:vAlign w:val="center"/>
          </w:tcPr>
          <w:p>
            <w:pPr>
              <w:spacing w:after="0" w:line="240" w:lineRule="exact"/>
              <w:jc w:val="center"/>
            </w:pPr>
            <w:r/>
            <w:r>
              <w:rPr>
                <w:rFonts w:ascii="Times New Roman" w:hAnsi="Times New Roman" w:eastAsia="宋体"/>
                <w:b w:val="0"/>
                <w:sz w:val="19"/>
              </w:rPr>
              <w:t>消防泵房、变配电间、中控及行政管理设施</w:t>
            </w:r>
          </w:p>
        </w:tc>
        <w:tc>
          <w:tcPr>
            <w:tcW w:type="dxa" w:w="2268"/>
            <w:vAlign w:val="center"/>
          </w:tcPr>
          <w:p>
            <w:pPr>
              <w:spacing w:after="0" w:line="240" w:lineRule="exact"/>
              <w:jc w:val="center"/>
            </w:pPr>
            <w:r/>
            <w:r>
              <w:rPr>
                <w:rFonts w:ascii="Times New Roman" w:hAnsi="Times New Roman" w:eastAsia="宋体"/>
                <w:b w:val="0"/>
                <w:sz w:val="19"/>
              </w:rPr>
              <w:t>位于相对较高处；室内地坪高于室外场坪和设计内涝水位</w:t>
            </w:r>
          </w:p>
        </w:tc>
        <w:tc>
          <w:tcPr>
            <w:tcW w:type="dxa" w:w="2268"/>
            <w:vAlign w:val="center"/>
          </w:tcPr>
          <w:p>
            <w:pPr>
              <w:spacing w:after="0" w:line="240" w:lineRule="exact"/>
              <w:jc w:val="center"/>
            </w:pPr>
            <w:r/>
            <w:r>
              <w:rPr>
                <w:rFonts w:ascii="Times New Roman" w:hAnsi="Times New Roman" w:eastAsia="宋体"/>
                <w:b w:val="0"/>
                <w:sz w:val="19"/>
              </w:rPr>
              <w:t>建筑四周向外排水，入口设置反坡或截水措施</w:t>
            </w:r>
          </w:p>
        </w:tc>
        <w:tc>
          <w:tcPr>
            <w:tcW w:type="dxa" w:w="2268"/>
            <w:vAlign w:val="center"/>
          </w:tcPr>
          <w:p>
            <w:pPr>
              <w:spacing w:after="0" w:line="240" w:lineRule="exact"/>
              <w:jc w:val="center"/>
            </w:pPr>
            <w:r/>
            <w:r>
              <w:rPr>
                <w:rFonts w:ascii="Times New Roman" w:hAnsi="Times New Roman" w:eastAsia="宋体"/>
                <w:b w:val="0"/>
                <w:sz w:val="19"/>
              </w:rPr>
              <w:t>GB 50074—2014第5.3.2条</w:t>
            </w:r>
          </w:p>
        </w:tc>
      </w:tr>
      <w:tr>
        <w:tc>
          <w:tcPr>
            <w:tcW w:type="dxa" w:w="2268"/>
            <w:vAlign w:val="center"/>
          </w:tcPr>
          <w:p>
            <w:pPr>
              <w:spacing w:after="0" w:line="240" w:lineRule="exact"/>
              <w:jc w:val="center"/>
            </w:pPr>
            <w:r/>
            <w:r>
              <w:rPr>
                <w:rFonts w:ascii="Times New Roman" w:hAnsi="Times New Roman" w:eastAsia="宋体"/>
                <w:b w:val="0"/>
                <w:sz w:val="19"/>
              </w:rPr>
              <w:t>公路装车区及出入口</w:t>
            </w:r>
          </w:p>
        </w:tc>
        <w:tc>
          <w:tcPr>
            <w:tcW w:type="dxa" w:w="2268"/>
            <w:vAlign w:val="center"/>
          </w:tcPr>
          <w:p>
            <w:pPr>
              <w:spacing w:after="0" w:line="240" w:lineRule="exact"/>
              <w:jc w:val="center"/>
            </w:pPr>
            <w:r/>
            <w:r>
              <w:rPr>
                <w:rFonts w:ascii="Times New Roman" w:hAnsi="Times New Roman" w:eastAsia="宋体"/>
                <w:b w:val="0"/>
                <w:sz w:val="19"/>
              </w:rPr>
              <w:t>与广深公路平顺衔接，库内场坪不得承接道路来水</w:t>
            </w:r>
          </w:p>
        </w:tc>
        <w:tc>
          <w:tcPr>
            <w:tcW w:type="dxa" w:w="2268"/>
            <w:vAlign w:val="center"/>
          </w:tcPr>
          <w:p>
            <w:pPr>
              <w:spacing w:after="0" w:line="240" w:lineRule="exact"/>
              <w:jc w:val="center"/>
            </w:pPr>
            <w:r/>
            <w:r>
              <w:rPr>
                <w:rFonts w:ascii="Times New Roman" w:hAnsi="Times New Roman" w:eastAsia="宋体"/>
                <w:b w:val="0"/>
                <w:sz w:val="19"/>
              </w:rPr>
              <w:t>装车场坡向含油沟；大门内侧设截水沟并防倒灌</w:t>
            </w:r>
          </w:p>
        </w:tc>
        <w:tc>
          <w:tcPr>
            <w:tcW w:type="dxa" w:w="2268"/>
            <w:vAlign w:val="center"/>
          </w:tcPr>
          <w:p>
            <w:pPr>
              <w:spacing w:after="0" w:line="240" w:lineRule="exact"/>
              <w:jc w:val="center"/>
            </w:pPr>
            <w:r/>
            <w:r>
              <w:rPr>
                <w:rFonts w:ascii="Times New Roman" w:hAnsi="Times New Roman" w:eastAsia="宋体"/>
                <w:b w:val="0"/>
                <w:sz w:val="19"/>
              </w:rPr>
              <w:t>GB 50014—2021及场址边界条件</w:t>
            </w:r>
          </w:p>
        </w:tc>
      </w:tr>
      <w:tr>
        <w:tc>
          <w:tcPr>
            <w:tcW w:type="dxa" w:w="2268"/>
            <w:vAlign w:val="center"/>
          </w:tcPr>
          <w:p>
            <w:pPr>
              <w:spacing w:after="0" w:line="240" w:lineRule="exact"/>
              <w:jc w:val="center"/>
            </w:pPr>
            <w:r/>
            <w:r>
              <w:rPr>
                <w:rFonts w:ascii="Times New Roman" w:hAnsi="Times New Roman" w:eastAsia="宋体"/>
                <w:b w:val="0"/>
                <w:sz w:val="19"/>
              </w:rPr>
              <w:t>初期雨水池、含油污水池、事故应急池</w:t>
            </w:r>
          </w:p>
        </w:tc>
        <w:tc>
          <w:tcPr>
            <w:tcW w:type="dxa" w:w="2268"/>
            <w:vAlign w:val="center"/>
          </w:tcPr>
          <w:p>
            <w:pPr>
              <w:spacing w:after="0" w:line="240" w:lineRule="exact"/>
              <w:jc w:val="center"/>
            </w:pPr>
            <w:r/>
            <w:r>
              <w:rPr>
                <w:rFonts w:ascii="Times New Roman" w:hAnsi="Times New Roman" w:eastAsia="宋体"/>
                <w:b w:val="0"/>
                <w:sz w:val="19"/>
              </w:rPr>
              <w:t>设在服务分区水力低处，池顶与控制设备不受内涝淹没</w:t>
            </w:r>
          </w:p>
        </w:tc>
        <w:tc>
          <w:tcPr>
            <w:tcW w:type="dxa" w:w="2268"/>
            <w:vAlign w:val="center"/>
          </w:tcPr>
          <w:p>
            <w:pPr>
              <w:spacing w:after="0" w:line="240" w:lineRule="exact"/>
              <w:jc w:val="center"/>
            </w:pPr>
            <w:r/>
            <w:r>
              <w:rPr>
                <w:rFonts w:ascii="Times New Roman" w:hAnsi="Times New Roman" w:eastAsia="宋体"/>
                <w:b w:val="0"/>
                <w:sz w:val="19"/>
              </w:rPr>
              <w:t>重力收集优先，出口设切断、液位报警和必要提升</w:t>
            </w:r>
          </w:p>
        </w:tc>
        <w:tc>
          <w:tcPr>
            <w:tcW w:type="dxa" w:w="2268"/>
            <w:vAlign w:val="center"/>
          </w:tcPr>
          <w:p>
            <w:pPr>
              <w:spacing w:after="0" w:line="240" w:lineRule="exact"/>
              <w:jc w:val="center"/>
            </w:pPr>
            <w:r/>
            <w:r>
              <w:rPr>
                <w:rFonts w:ascii="Times New Roman" w:hAnsi="Times New Roman" w:eastAsia="宋体"/>
                <w:b w:val="0"/>
                <w:sz w:val="19"/>
              </w:rPr>
              <w:t>GB 50074—2014第13.2.1～13.2.5条</w:t>
            </w:r>
          </w:p>
        </w:tc>
      </w:tr>
    </w:tbl>
    <w:p>
      <w:pPr>
        <w:widowControl/>
        <w:spacing w:line="360" w:lineRule="auto"/>
        <w:ind w:firstLine="420"/>
        <w:jc w:val="both"/>
      </w:pPr>
      <w:r>
        <w:rPr>
          <w:rFonts w:ascii="Times New Roman" w:hAnsi="Times New Roman" w:eastAsia="宋体"/>
          <w:b w:val="0"/>
          <w:sz w:val="21"/>
        </w:rPr>
        <w:t>注：表中除明确引用GB 50074—2014的数值外，其余为本阶段控制关系；绝对标高、道路纵坡和场地坡度应在地形测量及排水水力计算完成后确定。</w:t>
      </w:r>
    </w:p>
    <w:p>
      <w:pPr>
        <w:keepNext/>
        <w:widowControl/>
        <w:spacing w:before="100" w:after="60" w:line="360" w:lineRule="auto"/>
        <w:jc w:val="left"/>
      </w:pPr>
      <w:r>
        <w:rPr>
          <w:rFonts w:ascii="Times New Roman" w:hAnsi="Times New Roman" w:eastAsia="黑体"/>
          <w:b/>
          <w:sz w:val="24"/>
        </w:rPr>
        <w:t>（3）排水系统分流与控制</w:t>
      </w:r>
    </w:p>
    <w:p>
      <w:pPr>
        <w:widowControl/>
        <w:spacing w:line="360" w:lineRule="auto"/>
        <w:ind w:firstLine="480"/>
        <w:jc w:val="both"/>
      </w:pPr>
      <w:r>
        <w:rPr>
          <w:rFonts w:ascii="Times New Roman" w:hAnsi="Times New Roman" w:eastAsia="宋体"/>
          <w:b w:val="0"/>
          <w:sz w:val="24"/>
        </w:rPr>
        <w:t>全库排水按清洁雨水、含油污水及受污染初期雨水、生活污水、事故消防废水四个系统组织。GB 50074—2014第13.2.1条规定含油污水应与不含油污水分流，含油污水采用管道排放；未受油品污染的雨水可采用明沟排放，并宜在围墙处集中设置排放口。本设计据此划分污染汇水面：罐组防火堤内、装车鹤位、油泵及阀组区、含油设备检修区划入污染雨水系统；屋面、行政管理区及经确认无污染的道路绿地雨水划入清洁雨水系统。生活污水经独立管网收集，不进入含油污水设施。</w:t>
      </w:r>
    </w:p>
    <w:p>
      <w:pPr>
        <w:widowControl/>
        <w:spacing w:line="360" w:lineRule="auto"/>
        <w:ind w:firstLine="480"/>
        <w:jc w:val="both"/>
      </w:pPr>
      <w:r>
        <w:rPr>
          <w:rFonts w:ascii="Times New Roman" w:hAnsi="Times New Roman" w:eastAsia="宋体"/>
          <w:b w:val="0"/>
          <w:sz w:val="24"/>
        </w:rPr>
        <w:t>防火堤内排水管穿堤处采用不燃材料严密封堵，并在堤外设置常闭切断装置；只有经现场检查确认后方可切换排放。按照GB 50074—2014第13.2.3～13.2.5条，含油污水管道在防火堤处、建筑物排出管处、支管与干管连接处及干管适当位置设置水封井，水封高度不小于0.25 m，沉泥段深度不小于0.25 m；库外排水出口还应在围墙内设置水封和切断设施。不同罐组不得依靠常开沟渠相互连通，事故状态下应能分区截断。</w:t>
      </w:r>
    </w:p>
    <w:p>
      <w:pPr>
        <w:widowControl/>
        <w:spacing w:line="360" w:lineRule="auto"/>
        <w:ind w:firstLine="480"/>
        <w:jc w:val="both"/>
      </w:pPr>
      <w:r>
        <w:rPr>
          <w:rFonts w:ascii="Times New Roman" w:hAnsi="Times New Roman" w:eastAsia="宋体"/>
          <w:b w:val="0"/>
          <w:sz w:val="24"/>
        </w:rPr>
        <w:t>初期雨水控制采用“源头划区—过程截流—末端调蓄”的闭环方式：降雨开始时污染区排水阀保持通向初期雨水池，达到经水质、历时或累计雨量确定的切换条件后，经确认无油膜和异常污染再转入清洁雨水系统。近年研究表明，初期雨水污染具有明显的场地和过程差异，应结合污染源、汇水面和监测结果确定控制方案，不能把52万m²总用地按同一污染强度一次性估算</w:t>
      </w:r>
      <w:r>
        <w:rPr>
          <w:rFonts w:ascii="Times New Roman" w:hAnsi="Times New Roman" w:eastAsia="宋体"/>
          <w:b w:val="0"/>
          <w:sz w:val="24"/>
          <w:vertAlign w:val="superscript"/>
        </w:rPr>
        <w:t>[26]</w:t>
      </w:r>
      <w:r>
        <w:rPr>
          <w:rFonts w:ascii="Times New Roman" w:hAnsi="Times New Roman" w:eastAsia="宋体"/>
          <w:b w:val="0"/>
          <w:sz w:val="24"/>
        </w:rPr>
        <w:t>。含油场所宜采用“截流—隔离—检测—达标排放或回用”的系统思路，并设置阀位、液位和泵运行状态反馈</w:t>
      </w:r>
      <w:r>
        <w:rPr>
          <w:rFonts w:ascii="Times New Roman" w:hAnsi="Times New Roman" w:eastAsia="宋体"/>
          <w:b w:val="0"/>
          <w:sz w:val="24"/>
          <w:vertAlign w:val="superscript"/>
        </w:rPr>
        <w:t>[27]</w:t>
      </w:r>
      <w:r>
        <w:rPr>
          <w:rFonts w:ascii="Times New Roman" w:hAnsi="Times New Roman" w:eastAsia="宋体"/>
          <w:b w:val="0"/>
          <w:sz w:val="24"/>
          <w:vertAlign w:val="superscript"/>
        </w:rPr>
        <w:t>[28]</w:t>
      </w:r>
      <w:r>
        <w:rPr>
          <w:rFonts w:ascii="Times New Roman" w:hAnsi="Times New Roman" w:eastAsia="宋体"/>
          <w:b w:val="0"/>
          <w:sz w:val="24"/>
        </w:rPr>
        <w:t>。</w:t>
      </w:r>
    </w:p>
    <w:p>
      <w:pPr>
        <w:keepNext/>
        <w:widowControl/>
        <w:spacing w:before="100" w:after="60" w:line="360" w:lineRule="auto"/>
        <w:jc w:val="left"/>
      </w:pPr>
      <w:r>
        <w:rPr>
          <w:rFonts w:ascii="Times New Roman" w:hAnsi="Times New Roman" w:eastAsia="黑体"/>
          <w:b/>
          <w:sz w:val="24"/>
        </w:rPr>
        <w:t>（4）雨水量计算与黄埔暴雨参数</w:t>
      </w:r>
    </w:p>
    <w:p>
      <w:pPr>
        <w:widowControl/>
        <w:spacing w:line="360" w:lineRule="auto"/>
        <w:ind w:firstLine="480"/>
        <w:jc w:val="both"/>
      </w:pPr>
      <w:r>
        <w:rPr>
          <w:rFonts w:ascii="Times New Roman" w:hAnsi="Times New Roman" w:eastAsia="宋体"/>
          <w:b w:val="0"/>
          <w:sz w:val="24"/>
        </w:rPr>
        <w:t>雨水设计流量按GB 50014—2021规定的暴雨强度法分汇水分区计算：</w:t>
      </w:r>
    </w:p>
    <w:p>
      <w:pPr>
        <w:widowControl/>
        <w:spacing w:before="60" w:after="60" w:line="360" w:lineRule="auto"/>
        <w:jc w:val="center"/>
      </w:pPr>
      <w:r>
        <w:rPr>
          <w:rFonts w:ascii="Cambria Math" w:hAnsi="Cambria Math" w:eastAsia="宋体"/>
          <w:b w:val="0"/>
          <w:sz w:val="24"/>
        </w:rPr>
        <w:t>Q = qψF</w:t>
      </w:r>
    </w:p>
    <w:p>
      <w:pPr>
        <w:widowControl/>
        <w:spacing w:line="360" w:lineRule="auto"/>
        <w:ind w:firstLine="480"/>
        <w:jc w:val="both"/>
      </w:pPr>
      <w:r>
        <w:rPr>
          <w:rFonts w:ascii="Times New Roman" w:hAnsi="Times New Roman" w:eastAsia="宋体"/>
          <w:b w:val="0"/>
          <w:sz w:val="24"/>
        </w:rPr>
        <w:t>式中：Q为设计雨水流量，L/s；q为设计暴雨强度，L/(s·hm²)；ψ为综合径流系数；F为汇水面积，hm²。ψ应按各分区屋面、道路、硬化场坪、罐区碎石地坪和绿地的实际比例加权，不得以总用地面积直接套用单一径流系数。设计重现期应依据GB 50014—2021并结合油库重要性、地势、内涝风险和受纳水体条件确定。</w:t>
      </w:r>
    </w:p>
    <w:p>
      <w:pPr>
        <w:widowControl/>
        <w:spacing w:line="360" w:lineRule="auto"/>
        <w:ind w:firstLine="480"/>
        <w:jc w:val="both"/>
      </w:pPr>
      <w:r>
        <w:rPr>
          <w:rFonts w:ascii="Times New Roman" w:hAnsi="Times New Roman" w:eastAsia="宋体"/>
          <w:b w:val="0"/>
          <w:sz w:val="24"/>
        </w:rPr>
        <w:t>广州市水务局、广州市气象局2023年发布的黄埔区暴雨强度公式以黄埔站2001—2020年资料编制。作为本阶段管渠能力初算工况，取P=5 a时：</w:t>
      </w:r>
      <w:r>
        <w:rPr>
          <w:rFonts w:ascii="Times New Roman" w:hAnsi="Times New Roman" w:eastAsia="宋体"/>
          <w:b w:val="0"/>
          <w:sz w:val="24"/>
          <w:vertAlign w:val="superscript"/>
        </w:rPr>
        <w:t>[25]</w:t>
      </w:r>
    </w:p>
    <w:p>
      <w:pPr>
        <w:widowControl/>
        <w:spacing w:before="60" w:after="60" w:line="360" w:lineRule="auto"/>
        <w:jc w:val="center"/>
      </w:pPr>
      <w:r>
        <w:rPr>
          <w:rFonts w:ascii="Cambria Math" w:hAnsi="Cambria Math" w:eastAsia="宋体"/>
          <w:b w:val="0"/>
          <w:sz w:val="24"/>
        </w:rPr>
        <w:t>q = 11516.821 / (t + 28.919)^0.862</w:t>
      </w:r>
    </w:p>
    <w:p>
      <w:pPr>
        <w:widowControl/>
        <w:spacing w:line="360" w:lineRule="auto"/>
        <w:ind w:firstLine="480"/>
        <w:jc w:val="both"/>
      </w:pPr>
      <w:r>
        <w:rPr>
          <w:rFonts w:ascii="Times New Roman" w:hAnsi="Times New Roman" w:eastAsia="宋体"/>
          <w:b w:val="0"/>
          <w:sz w:val="24"/>
        </w:rPr>
        <w:t>式中：t为降雨历时，min。P=5 a仅用于方案阶段的常规排水初算，不替代GB 50201—2014要求的防洪标准，也不替代超标暴雨安全校核。施工图阶段应按两侧地块分别确定地面集水时间、管内流行时间、综合径流系数及各管段汇水面积，并以更不利暴雨情景校核道路最低点、装车区、地下或半地下构筑物和事故池周边是否积水。外排水位较高或存在潮位顶托时，排出口应设止回和电动切断设施，并预留提升排水能力。</w:t>
      </w:r>
    </w:p>
    <w:p>
      <w:pPr>
        <w:keepNext/>
        <w:widowControl/>
        <w:spacing w:before="100" w:after="60" w:line="360" w:lineRule="auto"/>
        <w:jc w:val="left"/>
      </w:pPr>
      <w:r>
        <w:rPr>
          <w:rFonts w:ascii="Times New Roman" w:hAnsi="Times New Roman" w:eastAsia="黑体"/>
          <w:b/>
          <w:sz w:val="24"/>
        </w:rPr>
        <w:t>（5）事故水与应急调蓄</w:t>
      </w:r>
    </w:p>
    <w:p>
      <w:pPr>
        <w:widowControl/>
        <w:spacing w:line="360" w:lineRule="auto"/>
        <w:ind w:firstLine="480"/>
        <w:jc w:val="both"/>
      </w:pPr>
      <w:r>
        <w:rPr>
          <w:rFonts w:ascii="Times New Roman" w:hAnsi="Times New Roman" w:eastAsia="宋体"/>
          <w:b w:val="0"/>
          <w:sz w:val="24"/>
        </w:rPr>
        <w:t>事故状态下，罐区泄漏液、消防用水、泡沫混合液及同期降雨不得直接外排。各污染分区通过雨水口、事故沟和切换井导入事故应急池；清洁雨水出口、含油污水出口和两侧地块对外排口均应设置可在中控室和现场操作的紧急切断。事故池有效容积在后续消防设计完成后按最不利事故单元核算：</w:t>
      </w:r>
    </w:p>
    <w:p>
      <w:pPr>
        <w:widowControl/>
        <w:spacing w:before="60" w:after="60" w:line="360" w:lineRule="auto"/>
        <w:jc w:val="center"/>
      </w:pPr>
      <w:r>
        <w:rPr>
          <w:rFonts w:ascii="Cambria Math" w:hAnsi="Cambria Math" w:eastAsia="宋体"/>
          <w:b w:val="0"/>
          <w:sz w:val="24"/>
        </w:rPr>
        <w:t>V事故 ≥ V泄漏 + V消防 + V同期降雨 + V其他 − V可靠滞留 − V安全转输</w:t>
      </w:r>
    </w:p>
    <w:p>
      <w:pPr>
        <w:widowControl/>
        <w:spacing w:line="360" w:lineRule="auto"/>
        <w:ind w:firstLine="480"/>
        <w:jc w:val="both"/>
      </w:pPr>
      <w:r>
        <w:rPr>
          <w:rFonts w:ascii="Times New Roman" w:hAnsi="Times New Roman" w:eastAsia="宋体"/>
          <w:b w:val="0"/>
          <w:sz w:val="24"/>
        </w:rPr>
        <w:t>式中各项必须采用同一事故持续时间和同一汇水边界。V可靠滞留仅计入事故期间确实可用且不会导致漫堤、串罐或污染扩散的防火堤及构筑物容积；V安全转输仅计入具有独立动力、备用电源、明确去向并能在事故状态可靠运行的转输能力。事故池不得用年平均降雨量代替同期设计降雨量，也不得以罐区全部面积简单相乘。池内设置液位连续监测、高高液位报警、可燃气体检测及检修隔离条件；事故后废水经鉴别、隔油和后续处理，达到接管或排放要求后方可转输。</w:t>
      </w:r>
    </w:p>
    <w:p>
      <w:pPr>
        <w:keepNext/>
        <w:widowControl/>
        <w:spacing w:before="100" w:after="60" w:line="360" w:lineRule="auto"/>
        <w:jc w:val="left"/>
      </w:pPr>
      <w:r>
        <w:rPr>
          <w:rFonts w:ascii="Times New Roman" w:hAnsi="Times New Roman" w:eastAsia="黑体"/>
          <w:b/>
          <w:sz w:val="24"/>
        </w:rPr>
        <w:t>（6）土方平衡与施工图深化要求</w:t>
      </w:r>
    </w:p>
    <w:p>
      <w:pPr>
        <w:widowControl/>
        <w:spacing w:line="360" w:lineRule="auto"/>
        <w:ind w:firstLine="480"/>
        <w:jc w:val="both"/>
      </w:pPr>
      <w:r>
        <w:rPr>
          <w:rFonts w:ascii="Times New Roman" w:hAnsi="Times New Roman" w:eastAsia="宋体"/>
          <w:b w:val="0"/>
          <w:sz w:val="24"/>
        </w:rPr>
        <w:t>土方设计以两侧地块分别就近平衡为原则，优先顺应天然地形，避免跨越广深公路调运大量土方。测量资料齐全后采用方格网法计算挖填方，单个方格可按下式初算：</w:t>
      </w:r>
    </w:p>
    <w:p>
      <w:pPr>
        <w:widowControl/>
        <w:spacing w:before="60" w:after="60" w:line="360" w:lineRule="auto"/>
        <w:jc w:val="center"/>
      </w:pPr>
      <w:r>
        <w:rPr>
          <w:rFonts w:ascii="Cambria Math" w:hAnsi="Cambria Math" w:eastAsia="宋体"/>
          <w:b w:val="0"/>
          <w:sz w:val="24"/>
        </w:rPr>
        <w:t>Vᵢ = Aᵢ(h₁ + h₂ + h₃ + h₄) / 4</w:t>
      </w:r>
    </w:p>
    <w:p>
      <w:pPr>
        <w:widowControl/>
        <w:spacing w:line="360" w:lineRule="auto"/>
        <w:ind w:firstLine="480"/>
        <w:jc w:val="both"/>
      </w:pPr>
      <w:r>
        <w:rPr>
          <w:rFonts w:ascii="Times New Roman" w:hAnsi="Times New Roman" w:eastAsia="宋体"/>
          <w:b w:val="0"/>
          <w:sz w:val="24"/>
        </w:rPr>
        <w:t>式中：Vᵢ为方格土方量，m³；Aᵢ为方格面积，m²；h₁～h₄为四角点设计标高与自然标高之差，m。计算时应分别统计可利用挖方、不能用于回填的淤泥或污染土、结构基坑余土和外购合格填料，并计入压实系数及沉降预留。罐基础、道路、消防泵房和地下池体的地基处理应以岩土勘察结论为准，不能用场地总土方平衡替代分区地基稳定与不均匀沉降验算。方格网计算和分区平衡方法可参照油库设计数据手册及毕业设计指导资料</w:t>
      </w:r>
      <w:r>
        <w:rPr>
          <w:rFonts w:ascii="Times New Roman" w:hAnsi="Times New Roman" w:eastAsia="宋体"/>
          <w:b w:val="0"/>
          <w:sz w:val="24"/>
          <w:vertAlign w:val="superscript"/>
        </w:rPr>
        <w:t>[18]</w:t>
      </w:r>
      <w:r>
        <w:rPr>
          <w:rFonts w:ascii="Times New Roman" w:hAnsi="Times New Roman" w:eastAsia="宋体"/>
          <w:b w:val="0"/>
          <w:sz w:val="24"/>
          <w:vertAlign w:val="superscript"/>
        </w:rPr>
        <w:t>[19]</w:t>
      </w:r>
      <w:r>
        <w:rPr>
          <w:rFonts w:ascii="Times New Roman" w:hAnsi="Times New Roman" w:eastAsia="宋体"/>
          <w:b w:val="0"/>
          <w:sz w:val="24"/>
        </w:rPr>
        <w:t>。</w:t>
      </w:r>
    </w:p>
    <w:p>
      <w:pPr>
        <w:widowControl/>
        <w:spacing w:line="360" w:lineRule="auto"/>
        <w:ind w:firstLine="480"/>
        <w:jc w:val="both"/>
      </w:pPr>
      <w:r>
        <w:rPr>
          <w:rFonts w:ascii="Times New Roman" w:hAnsi="Times New Roman" w:eastAsia="宋体"/>
          <w:b w:val="0"/>
          <w:sz w:val="24"/>
        </w:rPr>
        <w:t>综上，本方案形成“两侧地块独立排水、重要设施相对高置、污染区受控汇流、清污雨污分流、事故状态一键截断”的竖向与排水体系。方案阶段已明确必须满足的相对高程和排水逻辑；待取得1∶500地形图、地勘报告、市政道路及排水接驳资料后，再完成绝对标高、坡度、管径、泵站扬程、调蓄容积和土方量的定量计算。</w:t>
      </w:r>
    </w:p>
    <w:p>
      <w:pPr>
        <w:keepNext/>
        <w:widowControl/>
        <w:spacing w:before="100" w:after="60" w:line="360" w:lineRule="auto"/>
        <w:jc w:val="left"/>
      </w:pPr>
      <w:r>
        <w:rPr>
          <w:rFonts w:ascii="Times New Roman" w:hAnsi="Times New Roman" w:eastAsia="黑体"/>
          <w:b/>
          <w:sz w:val="24"/>
        </w:rPr>
        <w:t>本节引用的参考文献（编号沿用论文总参考文献表）</w:t>
      </w:r>
    </w:p>
    <w:p>
      <w:pPr>
        <w:widowControl/>
        <w:spacing w:line="360" w:lineRule="auto"/>
        <w:ind w:left="420" w:hanging="420"/>
        <w:jc w:val="left"/>
      </w:pPr>
      <w:r>
        <w:rPr>
          <w:rFonts w:ascii="Times New Roman" w:hAnsi="Times New Roman" w:eastAsia="宋体"/>
          <w:b w:val="0"/>
          <w:sz w:val="21"/>
        </w:rPr>
        <w:t>[18] 邢科伟, 马秀让, 刘占卿. 油库加油站设计数据图表手册[M]. 北京: 中国石化出版社, 2015.</w:t>
      </w:r>
    </w:p>
    <w:p>
      <w:pPr>
        <w:widowControl/>
        <w:spacing w:line="360" w:lineRule="auto"/>
        <w:ind w:left="420" w:hanging="420"/>
        <w:jc w:val="left"/>
      </w:pPr>
      <w:r>
        <w:rPr>
          <w:rFonts w:ascii="Times New Roman" w:hAnsi="Times New Roman" w:eastAsia="宋体"/>
          <w:b w:val="0"/>
          <w:sz w:val="21"/>
        </w:rPr>
        <w:t>[19] 油库毕业设计指导书[Z]. 第五章“油库设计”: 139-154.</w:t>
      </w:r>
    </w:p>
    <w:p>
      <w:pPr>
        <w:widowControl/>
        <w:spacing w:line="360" w:lineRule="auto"/>
        <w:ind w:left="420" w:hanging="420"/>
        <w:jc w:val="left"/>
      </w:pPr>
      <w:r>
        <w:rPr>
          <w:rFonts w:ascii="Times New Roman" w:hAnsi="Times New Roman" w:eastAsia="宋体"/>
          <w:b w:val="0"/>
          <w:sz w:val="21"/>
        </w:rPr>
        <w:t>[20] 浅谈石油库总平面布置——合理的进行油库总平面布置[Z]. 2011(06): 16-17.</w:t>
      </w:r>
    </w:p>
    <w:p>
      <w:pPr>
        <w:widowControl/>
        <w:spacing w:line="360" w:lineRule="auto"/>
        <w:ind w:left="420" w:hanging="420"/>
        <w:jc w:val="left"/>
      </w:pPr>
      <w:r>
        <w:rPr>
          <w:rFonts w:ascii="Times New Roman" w:hAnsi="Times New Roman" w:eastAsia="宋体"/>
          <w:b w:val="0"/>
          <w:sz w:val="21"/>
        </w:rPr>
        <w:t>[21] 某油库工艺设计[Z]. 第二章“总平面布置”.</w:t>
      </w:r>
    </w:p>
    <w:p>
      <w:pPr>
        <w:widowControl/>
        <w:spacing w:line="360" w:lineRule="auto"/>
        <w:ind w:left="420" w:hanging="420"/>
        <w:jc w:val="left"/>
      </w:pPr>
      <w:r>
        <w:rPr>
          <w:rFonts w:ascii="Times New Roman" w:hAnsi="Times New Roman" w:eastAsia="宋体"/>
          <w:b w:val="0"/>
          <w:sz w:val="21"/>
        </w:rPr>
        <w:t>[25] 广州市水务局, 广州市气象局. 广州市暴雨强度公式编制与设计暴雨雨型研究技术报告（简本）[R/OL]. 2023-03-07[2026-07-18]. https://swj.gz.gov.cn/gkmlpt/content/8/8835/post_8835843.html.</w:t>
      </w:r>
    </w:p>
    <w:p>
      <w:pPr>
        <w:widowControl/>
        <w:spacing w:line="360" w:lineRule="auto"/>
        <w:ind w:left="420" w:hanging="420"/>
        <w:jc w:val="left"/>
      </w:pPr>
      <w:r>
        <w:rPr>
          <w:rFonts w:ascii="Times New Roman" w:hAnsi="Times New Roman" w:eastAsia="宋体"/>
          <w:b w:val="0"/>
          <w:sz w:val="21"/>
        </w:rPr>
        <w:t>[26] 郑云丽, 段淑璇, 卢林, 等. 我国初期雨水污染特性及其控制技术研究进展[J]. 水利水电技术（中英文）, 2024, 55(S2): 549-559. DOI:10.13928/j.cnki.wrahe.2024.S2.084.</w:t>
      </w:r>
    </w:p>
    <w:p>
      <w:pPr>
        <w:widowControl/>
        <w:spacing w:line="360" w:lineRule="auto"/>
        <w:ind w:left="420" w:hanging="420"/>
        <w:jc w:val="left"/>
      </w:pPr>
      <w:r>
        <w:rPr>
          <w:rFonts w:ascii="Times New Roman" w:hAnsi="Times New Roman" w:eastAsia="宋体"/>
          <w:b w:val="0"/>
          <w:sz w:val="21"/>
        </w:rPr>
        <w:t>[27] 李俊欣. 危险废物处理厂的初雨事故池控制方案研究[J/OL]. 自动化应用, 2023[2026-07-18]. https://zdhyy.ijournals.cn/zdhyy/article/abstract/20230104.</w:t>
      </w:r>
    </w:p>
    <w:p>
      <w:pPr>
        <w:widowControl/>
        <w:spacing w:line="360" w:lineRule="auto"/>
        <w:ind w:left="420" w:hanging="420"/>
        <w:jc w:val="left"/>
      </w:pPr>
      <w:r>
        <w:rPr>
          <w:rFonts w:ascii="Times New Roman" w:hAnsi="Times New Roman" w:eastAsia="宋体"/>
          <w:b w:val="0"/>
          <w:sz w:val="21"/>
        </w:rPr>
        <w:t>[28] 王文明, 王子文. 加油站含油污水排放系统设计研究[J]. 安全、健康和环境, 2022, 22(2): 42-47. DOI:10.3969/j.issn.1672-7932.2022.02.009.</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3.2.3 油库竖向及排水设计</dc:title>
  <dc:subject>广州黄埔区广深公路两侧油库毕业设计章节</dc:subject>
  <dc:creator>裴慧琳</dc:creator>
  <cp:keywords/>
  <dc:description>generated by python-docx</dc:description>
  <cp:lastModifiedBy/>
  <cp:revision>1</cp:revision>
  <dcterms:created xsi:type="dcterms:W3CDTF">2013-12-23T23:15:00Z</dcterms:created>
  <dcterms:modified xsi:type="dcterms:W3CDTF">2013-12-23T23:15:00Z</dcterms:modified>
  <cp:category/>
</cp:coreProperties>
</file>