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"/>
        <w:gridCol w:w="636"/>
        <w:gridCol w:w="1192"/>
        <w:gridCol w:w="2285"/>
        <w:gridCol w:w="1834"/>
        <w:gridCol w:w="370"/>
        <w:gridCol w:w="1080"/>
        <w:gridCol w:w="1125"/>
        <w:gridCol w:w="91"/>
      </w:tblGrid>
      <w:tr w14:paraId="128FA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599" w:hRule="atLeast"/>
          <w:jc w:val="center"/>
        </w:trPr>
        <w:tc>
          <w:tcPr>
            <w:tcW w:w="86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37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本科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毕业设计任务书</w:t>
            </w:r>
          </w:p>
        </w:tc>
      </w:tr>
      <w:tr w14:paraId="476E3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BE26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学  院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FC5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能源学院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7C8D0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班  级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41CBB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23级油气储运工程2班</w:t>
            </w:r>
          </w:p>
        </w:tc>
      </w:tr>
      <w:tr w14:paraId="1035D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A4B78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姓  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DCE9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裴慧琳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84D4D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学  号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56BA5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23104242</w:t>
            </w:r>
          </w:p>
        </w:tc>
      </w:tr>
      <w:tr w14:paraId="658A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7318B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指导教师姓名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3AA5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叶章评  李琦钰</w:t>
            </w: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C7A76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指导教师职称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450A2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高级工程师  助教</w:t>
            </w:r>
          </w:p>
        </w:tc>
      </w:tr>
      <w:tr w14:paraId="0A7CB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645C0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毕业设计题目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3BA1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广州黄埔油库工艺设计</w:t>
            </w:r>
          </w:p>
        </w:tc>
      </w:tr>
      <w:tr w14:paraId="30D39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B5D9F">
            <w:pPr>
              <w:widowControl/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开展时间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BECB5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2026年6月1日至2027年3月20日</w:t>
            </w:r>
          </w:p>
        </w:tc>
      </w:tr>
      <w:tr w14:paraId="4E650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283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EBFDC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3D57E16A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13008E35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设计目的</w:t>
            </w:r>
          </w:p>
          <w:p w14:paraId="7030EB8E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01D4A836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71EEDA82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  <w:p w14:paraId="21A2E770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44228F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本设计针对92号汽油、95号汽油和0号柴油年周转量不同、管道收油与管输及公路发油并存、工艺设备能力需要协调，以及油气挥发、储罐溢流、管道泄漏和火灾事故风险集中等问题，开展广州黄埔成品油库总体与工艺系统设计。</w:t>
            </w:r>
          </w:p>
          <w:p w14:paraId="38EE4BEE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设计目标是依据三种油品的年周转量、密度、年周转系数K＝14和储罐利用系数分别计算所需库容，配置7座5000 m³立式储罐，其中92号汽油内浮顶罐3座、95号汽油内浮顶罐2座、0号柴油固定顶罐2座。油库实际公称总容量为35000 m³，折算后的储罐计算总容量为30000 m³，油库等级确定为二级。</w:t>
            </w:r>
          </w:p>
          <w:p w14:paraId="7FBE36F8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在库容和等级确定的基础上，完成四个功能区的总平面布置，建立管道密闭收油、分质储存、管输发油、公路底部装车、同品种倒罐和汽油油气回收流程。三种油品分别设置独立管线和泵组，主输油泵额定流量为60 m³/h、扬程为40 m；油气回收装置处理能力为120 m³/h；消防系统按5000 m³最大单罐事故工况进行设计。</w:t>
            </w:r>
          </w:p>
          <w:p w14:paraId="36A310E8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通过本设计，使储罐容量、管道输送能力、泵组工作点、装车能力、油气回收能力和消防保障能力相互匹配，形成可计算、可校核、可绘图表达的成品油库方案。设计过程综合运用油气储运、流体力学、储罐结构、安全工程和工程制图知识，强化规范检索、工程计算、设备选型和图纸表达能力，并以实际油库建设任务为载体体现产教融合要求。</w:t>
            </w:r>
          </w:p>
        </w:tc>
      </w:tr>
      <w:tr w14:paraId="471C4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588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8A052">
            <w:pPr>
              <w:widowControl/>
              <w:spacing w:line="360" w:lineRule="auto"/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设计任务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D8CDFF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1. 查阅成品油库总平面、储罐结构、输油管道、泵组选型、密闭装车、油气回收和消防安全等资料，完成不少于15篇中文文献和3篇外文文献的整理，并核实现行国家标准。</w:t>
            </w:r>
          </w:p>
          <w:p w14:paraId="272C336B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2. 整理建设地点、气候条件、油品性质、年周转量及收发油比例，分别计算92号汽油、95号汽油和0号柴油所需库容，确定储罐计算总容量、油库等级及7座5000 m³储罐配置。</w:t>
            </w:r>
          </w:p>
          <w:p w14:paraId="631DACDD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3. 完成储油区、装卸区、辅助生产区和行政管理区的分区设计，以及竖向排水、库区道路和综合管线布置，绘制1张油库总平面布置图。</w:t>
            </w:r>
          </w:p>
          <w:p w14:paraId="7D6105ED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4. 对汽油内浮顶罐和柴油固定顶罐分别进行罐壁厚度、固定顶、内浮顶、抗风稳定、中间抗风圈及主要附件设计，形成5000 m³储罐结构与附件参数汇总。</w:t>
            </w:r>
          </w:p>
          <w:p w14:paraId="3198B5D2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5. 分别完成汽油和柴油输油管道的管径、流速、管壁厚度、沿程阻力和局部阻力计算，确定主输油泵流量与扬程，并校核装卸能力、允许安装高度和实际安装标高。</w:t>
            </w:r>
          </w:p>
          <w:p w14:paraId="0FA7F150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6. 完成管道收油、储存、管输发油、公路底部装车、同品种倒罐和汽油油气回收流程设计，明确过滤、计量、阀组、联锁、排污和事故切断要求，绘制1张工艺流程图和1张主要工艺管道布置图。</w:t>
            </w:r>
          </w:p>
          <w:p w14:paraId="18C3D0D3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7. 按最大单罐事故工况完成防火堤、泡沫液储量、消防用水量和消防设施设计，并完成防雷防静电、可燃气体检测、液位联锁、含油污水及事故水收集设计。</w:t>
            </w:r>
          </w:p>
          <w:p w14:paraId="3A6C38FD">
            <w:pPr>
              <w:widowControl/>
              <w:spacing w:line="360" w:lineRule="auto"/>
              <w:ind w:firstLine="480" w:firstLineChars="20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8. 编制完整毕业设计说明书，保证公式来源、参数单位、代入过程和校核结果明确；核对说明书与图纸中的储罐数量、设备参数、管径、流向及安全设施，形成可用于毕业设计评审的成果。</w:t>
            </w:r>
          </w:p>
        </w:tc>
      </w:tr>
      <w:tr w14:paraId="5654B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142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C8DEE">
            <w:pPr>
              <w:widowControl/>
              <w:spacing w:line="360" w:lineRule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主要参考文献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BC9CED0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0" w:name="_Ref26393"/>
            <w:r>
              <w:t>张付卿.国内成品油库设计与建设发展趋势[J].石油库与加油站,2005,14(5):31-33.</w:t>
            </w:r>
            <w:bookmarkStart w:id="1" w:name="bib_ref_1"/>
            <w:r>
              <w:rPr>
                <w:rFonts w:hint="default"/>
                <w:color w:val="FFFFFF"/>
                <w:sz w:val="2"/>
              </w:rPr>
              <w:t>1</w:t>
            </w:r>
            <w:bookmarkEnd w:id="0"/>
            <w:bookmarkEnd w:id="1"/>
          </w:p>
          <w:p w14:paraId="780FC299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2" w:name="_Ref4849"/>
            <w:r>
              <w:t>周丽君.成品油库总图布局的注意要点分析[J].中国资源综合利用,2021,39(7):56-58.</w:t>
            </w:r>
            <w:bookmarkStart w:id="3" w:name="bib_ref_2"/>
            <w:r>
              <w:rPr>
                <w:rFonts w:hint="default"/>
                <w:color w:val="FFFFFF"/>
                <w:sz w:val="2"/>
              </w:rPr>
              <w:t>2</w:t>
            </w:r>
            <w:bookmarkEnd w:id="2"/>
            <w:bookmarkEnd w:id="3"/>
          </w:p>
          <w:p w14:paraId="0FA95AE6">
            <w:pPr>
              <w:pStyle w:val="6"/>
              <w:numPr>
                <w:ilvl w:val="0"/>
                <w:numId w:val="1"/>
              </w:numPr>
              <w:ind w:left="420" w:hanging="420" w:hangingChars="200"/>
              <w:jc w:val="left"/>
              <w:rPr>
                <w:rFonts w:hint="default"/>
              </w:rPr>
            </w:pPr>
            <w:r>
              <w:t>李雪,包真,傅钰江.成品油管道中间站下载对沿程混油分布的影响[J].油气储运,2023,42(6):678-684.</w:t>
            </w:r>
            <w:bookmarkStart w:id="4" w:name="bib_ref_3"/>
            <w:r>
              <w:rPr>
                <w:rFonts w:hint="default"/>
                <w:color w:val="FFFFFF"/>
                <w:sz w:val="2"/>
              </w:rPr>
              <w:t>3</w:t>
            </w:r>
            <w:bookmarkEnd w:id="4"/>
          </w:p>
          <w:p w14:paraId="6F10F202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高东平,杨光.大补偿密封在储罐VOCs治理中的应用[J].石油和化工设备,2021,24(8):104-107.</w:t>
            </w:r>
            <w:bookmarkStart w:id="5" w:name="bib_ref_4"/>
            <w:r>
              <w:rPr>
                <w:rFonts w:hint="default"/>
                <w:color w:val="FFFFFF"/>
                <w:sz w:val="2"/>
              </w:rPr>
              <w:t>4</w:t>
            </w:r>
            <w:bookmarkEnd w:id="5"/>
          </w:p>
          <w:p w14:paraId="7821295D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陈敏平.油库工艺设计几点看法[J].广东化工,2011,38(7):170-171.</w:t>
            </w:r>
            <w:bookmarkStart w:id="6" w:name="bib_ref_5"/>
            <w:r>
              <w:rPr>
                <w:rFonts w:hint="default"/>
                <w:color w:val="FFFFFF"/>
                <w:sz w:val="2"/>
              </w:rPr>
              <w:t>5</w:t>
            </w:r>
            <w:bookmarkEnd w:id="6"/>
          </w:p>
          <w:p w14:paraId="2B3CD1B1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吴开松,蔡灿,吴继伟.大型原油储罐关键结构设计与优化[J].石油机械,2013,41(5):45-49.</w:t>
            </w:r>
            <w:bookmarkStart w:id="7" w:name="bib_ref_6"/>
            <w:r>
              <w:rPr>
                <w:rFonts w:hint="default"/>
                <w:color w:val="FFFFFF"/>
                <w:sz w:val="2"/>
              </w:rPr>
              <w:t>6</w:t>
            </w:r>
            <w:bookmarkEnd w:id="7"/>
          </w:p>
          <w:p w14:paraId="57454559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丁少君.全接液内浮盘与弹力片补偿密封在成品油储罐上的应用[J].石油化工设备技术,2023,44(5):7-12,17.</w:t>
            </w:r>
            <w:bookmarkStart w:id="8" w:name="bib_ref_7"/>
            <w:r>
              <w:rPr>
                <w:rFonts w:hint="default"/>
                <w:color w:val="FFFFFF"/>
                <w:sz w:val="2"/>
              </w:rPr>
              <w:t>7</w:t>
            </w:r>
            <w:bookmarkEnd w:id="8"/>
          </w:p>
          <w:p w14:paraId="17823D34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9" w:name="_Ref4839"/>
            <w:r>
              <w:t>陆育,惠泉,侯学瑞,等.国内外油库设计标准对比分析[J].石油工业技术监督,2024(5):125-132.</w:t>
            </w:r>
            <w:bookmarkStart w:id="10" w:name="bib_ref_8"/>
            <w:r>
              <w:rPr>
                <w:rFonts w:hint="default"/>
                <w:color w:val="FFFFFF"/>
                <w:sz w:val="2"/>
              </w:rPr>
              <w:t>8</w:t>
            </w:r>
            <w:bookmarkEnd w:id="9"/>
            <w:bookmarkEnd w:id="10"/>
          </w:p>
          <w:p w14:paraId="7A72AD82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龚晓凤,宋长洋,付明福,等.油库火灾爆炸事故致因与网络演化研究[J].安全与环境学报,2024,24(12):4591-4597.</w:t>
            </w:r>
            <w:bookmarkStart w:id="11" w:name="bib_ref_9"/>
            <w:r>
              <w:rPr>
                <w:rFonts w:hint="default"/>
                <w:color w:val="FFFFFF"/>
                <w:sz w:val="2"/>
              </w:rPr>
              <w:t>9</w:t>
            </w:r>
            <w:bookmarkEnd w:id="11"/>
          </w:p>
          <w:p w14:paraId="1C774838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陈增良,罗晔,倪钱锋,等.油库油气回收系统的优化模拟设计研究[J].安全、健康和环境,2025,25(9):34-40.</w:t>
            </w:r>
            <w:bookmarkStart w:id="12" w:name="bib_ref_10"/>
            <w:r>
              <w:rPr>
                <w:rFonts w:hint="default"/>
                <w:color w:val="FFFFFF"/>
                <w:sz w:val="2"/>
              </w:rPr>
              <w:t>10</w:t>
            </w:r>
            <w:bookmarkEnd w:id="12"/>
          </w:p>
          <w:p w14:paraId="271A46B7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王文涛,张培育,张瑞芸.高含铁清罐原油脱铁净化技术的工业实践[J].石油石化绿色低碳,2026,11(2):55-58.</w:t>
            </w:r>
            <w:bookmarkStart w:id="13" w:name="bib_ref_11"/>
            <w:r>
              <w:rPr>
                <w:rFonts w:hint="default"/>
                <w:color w:val="FFFFFF"/>
                <w:sz w:val="2"/>
              </w:rPr>
              <w:t>11</w:t>
            </w:r>
            <w:bookmarkEnd w:id="13"/>
          </w:p>
          <w:p w14:paraId="3617A110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刘兵,李勇.油库自动化控制系统设计研究[J].炼油技术与工程,2022,52(8):56-59.</w:t>
            </w:r>
            <w:bookmarkStart w:id="14" w:name="bib_ref_12"/>
            <w:r>
              <w:rPr>
                <w:rFonts w:hint="default"/>
                <w:color w:val="FFFFFF"/>
                <w:sz w:val="2"/>
              </w:rPr>
              <w:t>12</w:t>
            </w:r>
            <w:bookmarkEnd w:id="14"/>
          </w:p>
          <w:p w14:paraId="438AC0B3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王金江,余昊天,张凤丽,张来斌.基于数字孪生的智能油气站场设计与开发[J].油气储运,2022,41(4):391-396.</w:t>
            </w:r>
            <w:bookmarkStart w:id="15" w:name="bib_ref_13"/>
            <w:r>
              <w:rPr>
                <w:rFonts w:hint="default"/>
                <w:color w:val="FFFFFF"/>
                <w:sz w:val="2"/>
              </w:rPr>
              <w:t>13</w:t>
            </w:r>
            <w:bookmarkEnd w:id="15"/>
          </w:p>
          <w:p w14:paraId="3D0F5D5B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黄鑫,滕林,聂超飞,等.液氨/甲醇/成品油顺序输送技术研究进展[J].油气储运,2023,42(12):1337-1351.</w:t>
            </w:r>
            <w:bookmarkStart w:id="16" w:name="bib_ref_14"/>
            <w:r>
              <w:rPr>
                <w:rFonts w:hint="default"/>
                <w:color w:val="FFFFFF"/>
                <w:sz w:val="2"/>
              </w:rPr>
              <w:t>14</w:t>
            </w:r>
            <w:bookmarkEnd w:id="16"/>
          </w:p>
          <w:p w14:paraId="117D4D18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杜渐,郑坚钦,夏玉恒,等.耦合混油发展机理与数据修正的成品油管道混油浓度预测[J].油气储运,2024,43(7):796-808.</w:t>
            </w:r>
            <w:bookmarkStart w:id="17" w:name="bib_ref_15"/>
            <w:r>
              <w:rPr>
                <w:rFonts w:hint="default"/>
                <w:color w:val="FFFFFF"/>
                <w:sz w:val="2"/>
              </w:rPr>
              <w:t>15</w:t>
            </w:r>
            <w:bookmarkEnd w:id="17"/>
          </w:p>
          <w:p w14:paraId="0F034DD1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宋进舟,沈亮,郭祎,等.成品油管道顺序输送甲醇混油界面在线检测系统及应用[J].油气储运,2025,44(9):1012-1020.</w:t>
            </w:r>
            <w:bookmarkStart w:id="18" w:name="bib_ref_16"/>
            <w:r>
              <w:rPr>
                <w:rFonts w:hint="default"/>
                <w:color w:val="FFFFFF"/>
                <w:sz w:val="2"/>
              </w:rPr>
              <w:t>16</w:t>
            </w:r>
            <w:bookmarkEnd w:id="18"/>
          </w:p>
          <w:p w14:paraId="0CCCF1F8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孙清峰,常维纯,刘亮,姜胜宇.油气储运设施“全国一张网”应急预案体系建设[J].油气储运,2024,43(2):134-143.</w:t>
            </w:r>
            <w:bookmarkStart w:id="19" w:name="bib_ref_17"/>
            <w:r>
              <w:rPr>
                <w:rFonts w:hint="default"/>
                <w:color w:val="FFFFFF"/>
                <w:sz w:val="2"/>
              </w:rPr>
              <w:t>17</w:t>
            </w:r>
            <w:bookmarkEnd w:id="19"/>
          </w:p>
          <w:p w14:paraId="2D6B5C8F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蒋新生,秦希卓,储汇,等.油气爆炸荷载对储罐结构的毁伤机制及评估[J].油气储运,2024,43(12):1365-1377.</w:t>
            </w:r>
            <w:bookmarkStart w:id="20" w:name="bib_ref_18"/>
            <w:r>
              <w:rPr>
                <w:rFonts w:hint="default"/>
                <w:color w:val="FFFFFF"/>
                <w:sz w:val="2"/>
              </w:rPr>
              <w:t>18</w:t>
            </w:r>
            <w:bookmarkEnd w:id="20"/>
          </w:p>
          <w:p w14:paraId="0ACAACE6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21" w:name="_Ref29090"/>
            <w:r>
              <w:t>邢科伟,马秀让,刘占卿.油库加油站设计数据图表手册[M].北京:中国石化出版社,2015.</w:t>
            </w:r>
            <w:bookmarkStart w:id="22" w:name="bib_ref_19"/>
            <w:r>
              <w:rPr>
                <w:rFonts w:hint="default"/>
                <w:color w:val="FFFFFF"/>
                <w:sz w:val="2"/>
              </w:rPr>
              <w:t>19</w:t>
            </w:r>
            <w:bookmarkEnd w:id="21"/>
            <w:bookmarkEnd w:id="22"/>
          </w:p>
          <w:p w14:paraId="3339EE26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bookmarkStart w:id="23" w:name="_Ref26302"/>
            <w:r>
              <w:rPr>
                <w:rFonts w:hint="default"/>
              </w:rPr>
              <w:t>蒋华义, 由野, 吴晓南. 油气储运毕业设计指导书[M]. 北京: 石油工业出版社, 2018</w:t>
            </w:r>
            <w:bookmarkEnd w:id="23"/>
          </w:p>
          <w:p w14:paraId="1C57A9F5">
            <w:pPr>
              <w:pStyle w:val="6"/>
              <w:numPr>
                <w:ilvl w:val="0"/>
                <w:numId w:val="1"/>
              </w:numPr>
              <w:ind w:left="420" w:hanging="420" w:hangingChars="200"/>
              <w:rPr>
                <w:rFonts w:hint="default"/>
              </w:rPr>
            </w:pPr>
            <w:r>
              <w:t>FISK P,HUYNH T.Towards a digital twin of a storage tank using laser scan data[J].ISPRS Archives,2021,46:119-126.</w:t>
            </w:r>
            <w:bookmarkStart w:id="24" w:name="bib_ref_20"/>
            <w:r>
              <w:rPr>
                <w:rFonts w:hint="default"/>
              </w:rPr>
              <w:t>20</w:t>
            </w:r>
            <w:bookmarkEnd w:id="24"/>
          </w:p>
          <w:p w14:paraId="6A1FCA88">
            <w:pPr>
              <w:pStyle w:val="6"/>
              <w:numPr>
                <w:ilvl w:val="0"/>
                <w:numId w:val="1"/>
              </w:numPr>
              <w:ind w:left="420" w:hanging="420" w:hangingChars="200"/>
              <w:jc w:val="left"/>
              <w:rPr>
                <w:rFonts w:hint="default"/>
              </w:rPr>
            </w:pPr>
            <w:r>
              <w:t>AMERICAN PETROLEUM INSTITUTE.API Standard 650:Welded Tanks for Oil Storage[S].14th ed.Washington,DC:API,2025.</w:t>
            </w:r>
            <w:bookmarkStart w:id="25" w:name="bib_ref_21"/>
            <w:r>
              <w:rPr>
                <w:rFonts w:hint="default"/>
              </w:rPr>
              <w:t>21</w:t>
            </w:r>
            <w:bookmarkEnd w:id="25"/>
          </w:p>
          <w:p w14:paraId="2F25380F">
            <w:pPr>
              <w:pStyle w:val="6"/>
              <w:numPr>
                <w:ilvl w:val="0"/>
                <w:numId w:val="1"/>
              </w:numPr>
              <w:ind w:left="420" w:hanging="420" w:hangingChars="20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t>NATIONAL FIRE PROTECTION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SSOCIATION.NFPA 30:Flammable and Combustible Liquids Code[S].Quincy,MA:NFPA,2024.</w:t>
            </w:r>
          </w:p>
        </w:tc>
      </w:tr>
      <w:tr w14:paraId="47F25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8615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3B513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毕业设计进度安排</w:t>
            </w:r>
          </w:p>
        </w:tc>
      </w:tr>
      <w:tr w14:paraId="2FDA9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7067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序号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F39CB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毕业设计各阶段内容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AB9D2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时间安排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89C38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备注</w:t>
            </w:r>
          </w:p>
        </w:tc>
      </w:tr>
      <w:tr w14:paraId="1ECB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4AD64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D30A9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文献与标准查阅、开题报告、库容计算及工艺方案初定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ACD5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6.1—6.25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99BA1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5046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4F7B1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4B61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储罐、管道及泵组计算，完成总平面图与工艺流程图草图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550C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6.26—7.14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69175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657D3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81FF6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495B8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完成毕业设计说明书初稿及三类设计图纸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273B0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7.15—12.15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DF278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79CA8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04D2D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96F0C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中期检查、计算复核、说明书与图纸修改定稿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4CDE6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2026.12.16—</w:t>
            </w:r>
            <w:r>
              <w:rPr>
                <w:rFonts w:ascii="Times New Roman" w:hAnsi="Times New Roman" w:eastAsia="宋体" w:cs="Times New Roman"/>
                <w:sz w:val="24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4"/>
              </w:rPr>
              <w:t>2027.3.14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B46ED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3C8F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78577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23BDE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编制答辩PPT并完成答辩准备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3769F">
            <w:pPr>
              <w:widowControl/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3.15—3.20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EDA28">
            <w:pPr>
              <w:widowControl/>
              <w:spacing w:line="360" w:lineRule="auto"/>
              <w:ind w:firstLine="480" w:firstLineChars="20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 w14:paraId="4BAC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cantSplit/>
          <w:trHeight w:val="1167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58E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                                         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日</w:t>
            </w:r>
          </w:p>
        </w:tc>
      </w:tr>
      <w:tr w14:paraId="2A06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cantSplit/>
          <w:trHeight w:val="1612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D549">
            <w:pPr>
              <w:pStyle w:val="5"/>
              <w:ind w:left="0" w:leftChars="0" w:firstLine="0" w:firstLineChars="0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1EDBF021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380E6502">
            <w:pPr>
              <w:pStyle w:val="5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年   月   日</w:t>
            </w:r>
          </w:p>
        </w:tc>
      </w:tr>
      <w:tr w14:paraId="2F1A2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cantSplit/>
          <w:trHeight w:val="1926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834C">
            <w:pPr>
              <w:pStyle w:val="5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00C7097A">
            <w:pPr>
              <w:pStyle w:val="5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该任务书：</w:t>
            </w:r>
          </w:p>
          <w:p w14:paraId="5E3DE354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1.通过；        2.完善后通过；      3.不通过</w:t>
            </w:r>
          </w:p>
          <w:p w14:paraId="734154D8">
            <w:pPr>
              <w:pStyle w:val="5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14866D05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院长签字：              学院盖章：  </w:t>
            </w:r>
          </w:p>
          <w:p w14:paraId="48EE66B8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  <w:p w14:paraId="32C27822">
            <w:pPr>
              <w:pStyle w:val="5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5A2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3" w:type="dxa"/>
          <w:trHeight w:val="90" w:hRule="atLeast"/>
          <w:jc w:val="center"/>
        </w:trPr>
        <w:tc>
          <w:tcPr>
            <w:tcW w:w="8613" w:type="dxa"/>
            <w:gridSpan w:val="8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9F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注：本表由指导教师填写，经各级审核后下达学生。</w:t>
            </w:r>
          </w:p>
        </w:tc>
      </w:tr>
    </w:tbl>
    <w:p w14:paraId="13B14F2D"/>
    <w:sectPr>
      <w:footerReference r:id="rId3" w:type="default"/>
      <w:pgSz w:w="11906" w:h="16838"/>
      <w:pgMar w:top="1440" w:right="1797" w:bottom="1440" w:left="179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3224CE1-D1D0-407A-BEF2-0205A4B18E6B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F402F45-B442-4087-8C0D-58510E89BEF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0594143D-2485-43F9-BE07-FF46FEA4099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2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64523"/>
    <w:multiLevelType w:val="singleLevel"/>
    <w:tmpl w:val="EBD64523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 w:updateFields="true">
  <w:zoom w:percent="100"/>
  <w:doNotDisplayPageBoundaries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E12A6"/>
    <w:rsid w:val="27D3497C"/>
    <w:rsid w:val="77B8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6">
    <w:name w:val="主要参考文献"/>
    <w:basedOn w:val="1"/>
    <w:qFormat/>
    <w:uiPriority w:val="0"/>
    <w:pPr>
      <w:adjustRightInd w:val="0"/>
      <w:snapToGrid w:val="0"/>
      <w:spacing w:before="60" w:line="320" w:lineRule="exact"/>
      <w:ind w:left="420" w:leftChars="200" w:firstLine="0" w:firstLineChars="0"/>
    </w:pPr>
    <w:rPr>
      <w:rFonts w:hint="eastAsia" w:ascii="Times New Roman" w:hAnsi="Times New Roman" w:cs="Times New Roman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2059</Words>
  <Characters>2808</Characters>
  <Lines>0</Lines>
  <Paragraphs>0</Paragraphs>
  <TotalTime>3</TotalTime>
  <ScaleCrop>false</ScaleCrop>
  <LinksUpToDate>false</LinksUpToDate>
  <CharactersWithSpaces>3116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2026-07-31T06:53:00Z</dcterms:created>
  <dc:creator>29366</dc:creator>
  <cp:lastModifiedBy>WPS_1745382907</cp:lastModifiedBy>
  <dcterms:modified xsi:type="dcterms:W3CDTF">2026-07-31T07:29:34Z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eyJoZGlkIjoiMGI2MjU2OTI0MDI1ZDliNTNkYjNiNDk3NTBmYzkxYTYiLCJ1c2VySWQiOiIxNjk1NTQ5MjM3In0=</vt:lpwstr>
  </property>
  <property fmtid="{D5CDD505-2E9C-101B-9397-08002B2CF9AE}" pid="4" name="ICV">
    <vt:lpwstr>09D229CCD05A4DC5A23EF387119F72C3_12</vt:lpwstr>
  </property>
</Properties>
</file>