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2249" w14:textId="77777777" w:rsidR="00935586" w:rsidRDefault="00A844EC">
      <w:pPr>
        <w:keepNext/>
        <w:spacing w:before="40" w:after="40" w:line="300" w:lineRule="auto"/>
      </w:pPr>
      <w:r>
        <w:rPr>
          <w:rFonts w:eastAsia="黑体"/>
          <w:b/>
          <w:sz w:val="32"/>
        </w:rPr>
        <w:t xml:space="preserve">3.2.6  </w:t>
      </w:r>
      <w:r>
        <w:rPr>
          <w:rFonts w:eastAsia="黑体"/>
          <w:b/>
          <w:sz w:val="32"/>
        </w:rPr>
        <w:t>综合管线布置</w:t>
      </w:r>
    </w:p>
    <w:p w14:paraId="1A0D294E" w14:textId="77777777" w:rsidR="00935586" w:rsidRDefault="00A844EC">
      <w:pPr>
        <w:keepNext/>
        <w:spacing w:before="100" w:after="60" w:line="300" w:lineRule="auto"/>
      </w:pPr>
      <w:r>
        <w:rPr>
          <w:rFonts w:eastAsia="黑体"/>
          <w:b/>
        </w:rPr>
        <w:t>（</w:t>
      </w:r>
      <w:r>
        <w:rPr>
          <w:rFonts w:eastAsia="黑体"/>
          <w:b/>
        </w:rPr>
        <w:t>1</w:t>
      </w:r>
      <w:r>
        <w:rPr>
          <w:rFonts w:eastAsia="黑体"/>
          <w:b/>
        </w:rPr>
        <w:t>）布置原则</w:t>
      </w:r>
    </w:p>
    <w:p w14:paraId="05F66690" w14:textId="77777777" w:rsidR="00935586" w:rsidRDefault="00A844EC">
      <w:pPr>
        <w:spacing w:line="300" w:lineRule="auto"/>
        <w:ind w:firstLine="480"/>
        <w:jc w:val="both"/>
      </w:pPr>
      <w:r>
        <w:t>本项目综合管线包括油品工艺管线、油气回收管线、消防给水及泡沫管线、生产生活给水管线、雨水及含油污水管线、电力电缆和通信控制线路。本节仅确定各类管线在总平面中的通道、走向及空间关系，不涉及管径、水力计算、管材壁厚和阀门结构。</w:t>
      </w:r>
    </w:p>
    <w:p w14:paraId="58C951E4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管线综合布置依据现行《石油库设计规范》GB 50074—2014第9.1节和《工业企业总平面设计规范》GB 50187—2012第8章进行。各类管线按介质和功能分区集中布置，管线通道与库内道路及建筑控制线平行，干线设置在用户集中一侧，以缩短线路并减少道路交叉。油品工艺管线采用独立管廊，消防、公用工程和电缆线路分别形成独立通道。</w:t>
      </w:r>
    </w:p>
    <w:p w14:paraId="3E577EC8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管线沿道路单侧布置，不占用消防车道、油罐车行驶通道和回车场，并避开建筑基础及消防作业场地。主要管线按近期集中、远近结合的原则布置，在进库边界、储罐区和装车区预留检修空间及远期扩建接口，且不得影响消防通行。</w:t>
      </w:r>
    </w:p>
    <w:p w14:paraId="3DA78829" w14:textId="77777777" w:rsidR="00935586" w:rsidRDefault="00A844EC">
      <w:pPr>
        <w:keepNext/>
        <w:spacing w:before="100" w:after="60" w:line="300" w:lineRule="auto"/>
      </w:pPr>
      <w:r>
        <w:rPr>
          <w:rFonts w:eastAsia="黑体"/>
          <w:b/>
        </w:rPr>
        <w:t>（</w:t>
      </w:r>
      <w:r>
        <w:rPr>
          <w:rFonts w:eastAsia="黑体"/>
          <w:b/>
        </w:rPr>
        <w:t>2</w:t>
      </w:r>
      <w:r>
        <w:rPr>
          <w:rFonts w:eastAsia="黑体"/>
          <w:b/>
        </w:rPr>
        <w:t>）油品工艺管线平面走向</w:t>
      </w:r>
    </w:p>
    <w:p w14:paraId="5F1F6E00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油品工艺管线沿生产主干道一侧的独立管廊贯通进库接收区、储罐区、泵区和装车区，避开行政管理区及无关设施；不同油品管线分通道布置，防止混接。装车区油气回收管线沿工艺管带接至油气回收装置。</w:t>
      </w:r>
    </w:p>
    <w:p w14:paraId="53CBDF6C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罐区工艺管线按GB 50074—2014第9.1.17条沿道路布置，管带设置在防火堤外侧，不环绕罐组，不妨碍消防人员通行和作业。进出储罐的支管以短捷路线穿越防火堤，穿堤位置与人行台阶、排水出口错开，并按第6.5.6条采用不燃材料严密封堵；隔断操作位置设置在防火堤外可安全接近处。</w:t>
      </w:r>
    </w:p>
    <w:p w14:paraId="76EB80F0" w14:textId="77777777" w:rsidR="00935586" w:rsidRDefault="00A844EC">
      <w:pPr>
        <w:keepNext/>
        <w:spacing w:before="100" w:after="60" w:line="300" w:lineRule="auto"/>
      </w:pPr>
      <w:r>
        <w:rPr>
          <w:rFonts w:eastAsia="黑体"/>
          <w:b/>
        </w:rPr>
        <w:t>（</w:t>
      </w:r>
      <w:r>
        <w:rPr>
          <w:rFonts w:eastAsia="黑体"/>
          <w:b/>
        </w:rPr>
        <w:t>3</w:t>
      </w:r>
      <w:r>
        <w:rPr>
          <w:rFonts w:eastAsia="黑体"/>
          <w:b/>
        </w:rPr>
        <w:t>）敷设方式</w:t>
      </w:r>
    </w:p>
    <w:p w14:paraId="43BE6CFA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根据GB 50074—2014第9.1.1条，库内工艺及热力管道宜采用地上敷设或敞口管沟敷设。本设计油品主体管线采用架空管廊敷设，甲、乙类油品管线不采用非充沙密闭管沟；消防给水、生产生活给水、雨水、含油污水及事故水管线结合道路和竖向设计采用地下敷设，电力及通信线路采用独立电缆沟或电缆桥架。</w:t>
      </w:r>
    </w:p>
    <w:p w14:paraId="7B677AF9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道路交叉段采用埋地钢套管防护并尽量正交，避免长距离平行敷设。《石油库设计规范》GB 50074—2014第9.1.6条明确规定：架空管道跨越消防车道和其他车行道路时，路面以上净空高度分别不应小于5.0m和4.5m。沿路地上管线距路边不小于1.0m，埋地管线不布置在路面下方。</w:t>
      </w:r>
    </w:p>
    <w:p w14:paraId="4BE59F96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项目用地位于广深公路两侧，两侧地块分别形成完整的内部管线系统。库区不设置跨广深公路的油品工艺管线；后期确需跨路连通时，应单独开展安全论证并完成道路、规划及安全审查。</w:t>
      </w:r>
    </w:p>
    <w:p>
      <w:pPr>
        <w:widowControl/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金属工艺管线按GB 50074—2014第14.3节设置防静电接地，并接入库区接地系统；管线始端、末端、分支及装卸设施连接处按规范布置接地点。架空管廊下方结合场地竖向设置连续防渗导流沟，重点阀组及易泄漏部位设置集液设施，泄漏油品统一导入含油污水或事故水收集系统，防止油品漫流。</w:t>
      </w:r>
    </w:p>
    <w:p w14:paraId="43282485" w14:textId="77777777" w:rsidR="00935586" w:rsidRDefault="00A844EC">
      <w:pPr>
        <w:keepNext/>
        <w:spacing w:before="100" w:after="60" w:line="300" w:lineRule="auto"/>
      </w:pPr>
      <w:r>
        <w:rPr>
          <w:rFonts w:eastAsia="黑体"/>
          <w:b/>
        </w:rPr>
        <w:t>（</w:t>
      </w:r>
      <w:r>
        <w:rPr>
          <w:rFonts w:eastAsia="黑体"/>
          <w:b/>
        </w:rPr>
        <w:t>4</w:t>
      </w:r>
      <w:r>
        <w:rPr>
          <w:rFonts w:eastAsia="黑体"/>
          <w:b/>
        </w:rPr>
        <w:t>）公用工程管线布置</w:t>
      </w:r>
    </w:p>
    <w:p w14:paraId="760DD2C9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本项目为二级石油库，消防给水系统与生产生活给水系统分开设置。按照GB 50074—2014第12.2.5条，地上储罐区消防给水干管沿消防车道外侧环状布置，并由两条进水管接入；支管通向储罐冷却、消火栓和泡沫消防设施。消防管线不得穿越建筑基础，不得占用消防作业空间。</w:t>
      </w:r>
    </w:p>
    <w:p w14:paraId="0B5C6C5F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雨水、生活污水、含油污水和事故水管线分系统布置。结合黄埔地区降雨量大的特点，雨水干管沿道路低侧设置；罐区、泵区和装车区的初期雨水及事故水接至含油污水或事故水收集设施，不与清洁雨水管线混接。地下排水干线服从场地竖向排水方向，并与道路边沟、雨水口及事故水收集设施统一协调。</w:t>
      </w:r>
    </w:p>
    <w:p w14:paraId="73B63C05" w14:textId="77777777" w:rsidR="00935586" w:rsidRDefault="00A844EC">
      <w:pPr>
        <w:keepNext/>
        <w:spacing w:before="100" w:after="60" w:line="300" w:lineRule="auto"/>
      </w:pPr>
      <w:r>
        <w:rPr>
          <w:rFonts w:eastAsia="黑体"/>
          <w:b/>
        </w:rPr>
        <w:t>（</w:t>
      </w:r>
      <w:r>
        <w:rPr>
          <w:rFonts w:eastAsia="黑体"/>
          <w:b/>
        </w:rPr>
        <w:t>5</w:t>
      </w:r>
      <w:r>
        <w:rPr>
          <w:rFonts w:eastAsia="黑体"/>
          <w:b/>
        </w:rPr>
        <w:t>）管线空间协调</w:t>
      </w:r>
    </w:p>
    <w:p w14:paraId="31297EE8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地上工艺管廊按GB 50074—2014第9.1.4条和第9.1.17条集中避开消防泵房、变配电间、控制室、行政办公建筑及无关生产设施，不穿越建筑基础和消防作业场地；本设计优先将管廊布置在上述人员集中建筑15m范围以外。管架立柱设置在道路及消防作业范围之外，管廊下方保留连续巡检和检修空间。</w:t>
      </w:r>
    </w:p>
    <w:p w14:paraId="1FF6641F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油品管线、电缆和热力管线在综合通道内分层、分侧布置。电缆采用独立桥架或电缆沟，与油品管线保持《电力工程电缆设计标准》GB 50217—2018规定的净距；电缆不布置在热力管道上方，封闭电缆沟内不得穿越易燃油品管线，热力管道不得与甲、乙、丙A类油品管道敷设在同一管沟内。管廊立柱和管线本体避开库区照明点位，不遮挡主干道及装卸栈台防爆灯具，保证夜间巡检和装卸作业照度满足前述设计要求。</w:t>
      </w:r>
    </w:p>
    <w:p w14:paraId="4A6BCAEF" w14:textId="77777777" w:rsidR="00935586" w:rsidRDefault="00A844EC">
      <w:pPr>
        <w:spacing w:line="300" w:lineRule="auto"/>
        <w:ind w:firstLine="480"/>
        <w:jc w:val="both"/>
      </w:pPr>
      <w:r>
        <w:rPr>
          <w:rFonts w:ascii="Times New Roman" w:hAnsi="Times New Roman" w:eastAsia="宋体"/>
        </w:rPr>
        <w:t>综上，本油库总平面采用“油品架空管廊沿路布置、消防干管环状环绕罐组、给排水及电缆地下独立敷设”的综合管线布局。管线走向短捷有序，消防通道保持完整，各介质管线安全隔离，并预留远期扩建接口，满足石油库总图安全布置要求。</w:t>
      </w:r>
    </w:p>
    <w:sectPr w:rsidR="00935586" w:rsidSect="00034616"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8DF80" w14:textId="77777777" w:rsidR="00A844EC" w:rsidRDefault="00A844EC" w:rsidP="00404C6D">
      <w:pPr>
        <w:spacing w:after="0" w:line="240" w:lineRule="auto"/>
      </w:pPr>
      <w:r>
        <w:separator/>
      </w:r>
    </w:p>
  </w:endnote>
  <w:endnote w:type="continuationSeparator" w:id="0">
    <w:p w14:paraId="022126D8" w14:textId="77777777" w:rsidR="00A844EC" w:rsidRDefault="00A844EC" w:rsidP="00404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5E3BC" w14:textId="77777777" w:rsidR="00A844EC" w:rsidRDefault="00A844EC" w:rsidP="00404C6D">
      <w:pPr>
        <w:spacing w:after="0" w:line="240" w:lineRule="auto"/>
      </w:pPr>
      <w:r>
        <w:separator/>
      </w:r>
    </w:p>
  </w:footnote>
  <w:footnote w:type="continuationSeparator" w:id="0">
    <w:p w14:paraId="6A7612CA" w14:textId="77777777" w:rsidR="00A844EC" w:rsidRDefault="00A844EC" w:rsidP="00404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489979">
    <w:abstractNumId w:val="8"/>
  </w:num>
  <w:num w:numId="2" w16cid:durableId="1793593798">
    <w:abstractNumId w:val="6"/>
  </w:num>
  <w:num w:numId="3" w16cid:durableId="393286038">
    <w:abstractNumId w:val="5"/>
  </w:num>
  <w:num w:numId="4" w16cid:durableId="1705981188">
    <w:abstractNumId w:val="4"/>
  </w:num>
  <w:num w:numId="5" w16cid:durableId="1082027585">
    <w:abstractNumId w:val="7"/>
  </w:num>
  <w:num w:numId="6" w16cid:durableId="1958368407">
    <w:abstractNumId w:val="3"/>
  </w:num>
  <w:num w:numId="7" w16cid:durableId="1602295760">
    <w:abstractNumId w:val="2"/>
  </w:num>
  <w:num w:numId="8" w16cid:durableId="577788962">
    <w:abstractNumId w:val="1"/>
  </w:num>
  <w:num w:numId="9" w16cid:durableId="2022195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C6D"/>
    <w:rsid w:val="00935586"/>
    <w:rsid w:val="00A844EC"/>
    <w:rsid w:val="00AA1D8D"/>
    <w:rsid w:val="00AC1C0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106C4A"/>
  <w14:defaultImageDpi w14:val="300"/>
  <w15:docId w15:val="{8D80ED02-F73C-4E9C-A546-237BD688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1814</Words>
  <Characters>1942</Characters>
  <Application>Microsoft Office Word</Application>
  <DocSecurity>0</DocSecurity>
  <Lines>62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3.2.6 综合管线布置</dc:title>
  <dc:subject>广州黄埔二级油库毕业设计总平面综合管线布置</dc:subject>
  <dc:creator>裴慧琳</dc:creator>
  <cp:keywords/>
  <dc:description>generated by python-docx</dc:description>
  <cp:lastModifiedBy>ing L</cp:lastModifiedBy>
  <cp:revision>2</cp:revision>
  <dcterms:created xsi:type="dcterms:W3CDTF">2026-07-18T14:58:00Z</dcterms:created>
  <dcterms:modified xsi:type="dcterms:W3CDTF">2026-07-18T14:58:00Z</dcterms:modified>
  <cp:category/>
</cp:coreProperties>
</file>