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80F9B">
      <w:pPr>
        <w:pStyle w:val="8"/>
        <w:bidi w:val="0"/>
        <w:rPr>
          <w:rFonts w:hint="eastAsia"/>
          <w:lang w:val="en-US" w:eastAsia="zh-CN"/>
        </w:rPr>
      </w:pPr>
      <w:r>
        <w:rPr>
          <w:rFonts w:hint="eastAsia"/>
          <w:lang w:val="en-US" w:eastAsia="zh-CN"/>
        </w:rPr>
        <w:t>第4章 油库的总平面设计</w:t>
      </w:r>
    </w:p>
    <w:p w14:paraId="7DEB2985">
      <w:pPr>
        <w:pStyle w:val="9"/>
        <w:bidi w:val="0"/>
        <w:rPr>
          <w:rFonts w:hint="default"/>
          <w:lang w:val="en-US" w:eastAsia="zh-CN"/>
        </w:rPr>
      </w:pPr>
      <w:r>
        <w:rPr>
          <w:rFonts w:hint="eastAsia"/>
          <w:lang w:val="en-US" w:eastAsia="zh-CN"/>
        </w:rPr>
        <w:t>4.1油库容量和分级</w:t>
      </w:r>
    </w:p>
    <w:p w14:paraId="35D09C92">
      <w:pPr>
        <w:bidi w:val="0"/>
      </w:pPr>
      <w:r>
        <w:t>本油库主要储存92号汽油、95号汽油和0号柴油。三种油品均采用管道进库，出库采用管道运输和公路运输相结合的方式。各油品年周转量及收发油方式见表3-2。</w:t>
      </w:r>
    </w:p>
    <w:p w14:paraId="62038317">
      <w:pPr>
        <w:pStyle w:val="10"/>
        <w:bidi w:val="0"/>
      </w:pPr>
      <w:r>
        <w:t>表3-2  各油品年周转量及收发油方式</w:t>
      </w:r>
    </w:p>
    <w:tbl>
      <w:tblPr>
        <w:tblStyle w:val="5"/>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50A3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shd w:val="clear" w:color="auto" w:fill="E7E6E6"/>
            <w:tcMar>
              <w:top w:w="80" w:type="dxa"/>
              <w:left w:w="90" w:type="dxa"/>
              <w:bottom w:w="80" w:type="dxa"/>
              <w:right w:w="90" w:type="dxa"/>
            </w:tcMar>
            <w:vAlign w:val="center"/>
          </w:tcPr>
          <w:p w14:paraId="1C0148B0">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31781355">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27F2F87E">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31A1AF03">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3914E5FD">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1B3E1970">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399E3038">
            <w:pPr>
              <w:spacing w:before="0" w:after="0" w:line="240" w:lineRule="auto"/>
              <w:jc w:val="center"/>
            </w:pPr>
            <w:r>
              <w:rPr>
                <w:rFonts w:ascii="Times New Roman" w:hAnsi="Times New Roman" w:eastAsia="宋体"/>
                <w:b/>
                <w:sz w:val="17"/>
              </w:rPr>
              <w:t>出库方式及比例</w:t>
            </w:r>
          </w:p>
        </w:tc>
      </w:tr>
      <w:tr w14:paraId="26AB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7E38E2B0">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30A8537B">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64E8C702">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370C07DC">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3D582804">
            <w:pPr>
              <w:spacing w:before="0" w:after="0" w:line="240" w:lineRule="auto"/>
              <w:jc w:val="center"/>
            </w:pPr>
            <w:r>
              <w:rPr>
                <w:rFonts w:ascii="Times New Roman" w:hAnsi="Times New Roman" w:eastAsia="宋体"/>
                <w:b w:val="0"/>
                <w:sz w:val="17"/>
              </w:rPr>
              <w:t>23.80</w:t>
            </w:r>
          </w:p>
        </w:tc>
        <w:tc>
          <w:tcPr>
            <w:tcW w:w="1250" w:type="dxa"/>
            <w:tcMar>
              <w:top w:w="80" w:type="dxa"/>
              <w:left w:w="90" w:type="dxa"/>
              <w:bottom w:w="80" w:type="dxa"/>
              <w:right w:w="90" w:type="dxa"/>
            </w:tcMar>
            <w:vAlign w:val="center"/>
          </w:tcPr>
          <w:p w14:paraId="19B6793E">
            <w:pPr>
              <w:spacing w:before="0" w:after="0" w:line="240" w:lineRule="auto"/>
              <w:jc w:val="center"/>
            </w:pPr>
            <w:r>
              <w:rPr>
                <w:rFonts w:ascii="Times New Roman" w:hAnsi="Times New Roman" w:eastAsia="宋体"/>
                <w:b w:val="0"/>
                <w:sz w:val="17"/>
              </w:rPr>
              <w:t>4.20</w:t>
            </w:r>
          </w:p>
        </w:tc>
        <w:tc>
          <w:tcPr>
            <w:tcW w:w="2000" w:type="dxa"/>
            <w:tcMar>
              <w:top w:w="80" w:type="dxa"/>
              <w:left w:w="90" w:type="dxa"/>
              <w:bottom w:w="80" w:type="dxa"/>
              <w:right w:w="90" w:type="dxa"/>
            </w:tcMar>
            <w:vAlign w:val="center"/>
          </w:tcPr>
          <w:p w14:paraId="4A6CF239">
            <w:pPr>
              <w:spacing w:before="0" w:after="0" w:line="240" w:lineRule="auto"/>
              <w:jc w:val="center"/>
            </w:pPr>
            <w:r>
              <w:rPr>
                <w:rFonts w:ascii="Times New Roman" w:hAnsi="Times New Roman" w:eastAsia="宋体"/>
                <w:b w:val="0"/>
                <w:sz w:val="17"/>
              </w:rPr>
              <w:t>管输（85%）、公路（15%）</w:t>
            </w:r>
          </w:p>
        </w:tc>
      </w:tr>
      <w:tr w14:paraId="6778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18E8FE62">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1EF3B064">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6C9FCB7B">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58C67100">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59BB3AE8">
            <w:pPr>
              <w:spacing w:before="0" w:after="0" w:line="240" w:lineRule="auto"/>
              <w:jc w:val="center"/>
            </w:pPr>
            <w:r>
              <w:rPr>
                <w:rFonts w:ascii="Times New Roman" w:hAnsi="Times New Roman" w:eastAsia="宋体"/>
                <w:b w:val="0"/>
                <w:sz w:val="17"/>
              </w:rPr>
              <w:t>13.50</w:t>
            </w:r>
          </w:p>
        </w:tc>
        <w:tc>
          <w:tcPr>
            <w:tcW w:w="1250" w:type="dxa"/>
            <w:tcMar>
              <w:top w:w="80" w:type="dxa"/>
              <w:left w:w="90" w:type="dxa"/>
              <w:bottom w:w="80" w:type="dxa"/>
              <w:right w:w="90" w:type="dxa"/>
            </w:tcMar>
            <w:vAlign w:val="center"/>
          </w:tcPr>
          <w:p w14:paraId="786FBCBC">
            <w:pPr>
              <w:spacing w:before="0" w:after="0" w:line="240" w:lineRule="auto"/>
              <w:jc w:val="center"/>
            </w:pPr>
            <w:r>
              <w:rPr>
                <w:rFonts w:ascii="Times New Roman" w:hAnsi="Times New Roman" w:eastAsia="宋体"/>
                <w:b w:val="0"/>
                <w:sz w:val="17"/>
              </w:rPr>
              <w:t>1.50</w:t>
            </w:r>
          </w:p>
        </w:tc>
        <w:tc>
          <w:tcPr>
            <w:tcW w:w="2000" w:type="dxa"/>
            <w:tcMar>
              <w:top w:w="80" w:type="dxa"/>
              <w:left w:w="90" w:type="dxa"/>
              <w:bottom w:w="80" w:type="dxa"/>
              <w:right w:w="90" w:type="dxa"/>
            </w:tcMar>
            <w:vAlign w:val="center"/>
          </w:tcPr>
          <w:p w14:paraId="57A20334">
            <w:pPr>
              <w:spacing w:before="0" w:after="0" w:line="240" w:lineRule="auto"/>
              <w:jc w:val="center"/>
            </w:pPr>
            <w:r>
              <w:rPr>
                <w:rFonts w:ascii="Times New Roman" w:hAnsi="Times New Roman" w:eastAsia="宋体"/>
                <w:b w:val="0"/>
                <w:sz w:val="17"/>
              </w:rPr>
              <w:t>管输（90%）、公路（10%）</w:t>
            </w:r>
          </w:p>
        </w:tc>
      </w:tr>
      <w:tr w14:paraId="56FF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25033D44">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5D2830B9">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6A1103B7">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410CE9EB">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71366799">
            <w:pPr>
              <w:spacing w:before="0" w:after="0" w:line="240" w:lineRule="auto"/>
              <w:jc w:val="center"/>
            </w:pPr>
            <w:r>
              <w:rPr>
                <w:rFonts w:ascii="Times New Roman" w:hAnsi="Times New Roman" w:eastAsia="宋体"/>
                <w:b w:val="0"/>
                <w:sz w:val="17"/>
              </w:rPr>
              <w:t>21.60</w:t>
            </w:r>
          </w:p>
        </w:tc>
        <w:tc>
          <w:tcPr>
            <w:tcW w:w="1250" w:type="dxa"/>
            <w:tcMar>
              <w:top w:w="80" w:type="dxa"/>
              <w:left w:w="90" w:type="dxa"/>
              <w:bottom w:w="80" w:type="dxa"/>
              <w:right w:w="90" w:type="dxa"/>
            </w:tcMar>
            <w:vAlign w:val="center"/>
          </w:tcPr>
          <w:p w14:paraId="70F4D33B">
            <w:pPr>
              <w:spacing w:before="0" w:after="0" w:line="240" w:lineRule="auto"/>
              <w:jc w:val="center"/>
            </w:pPr>
            <w:r>
              <w:rPr>
                <w:rFonts w:ascii="Times New Roman" w:hAnsi="Times New Roman" w:eastAsia="宋体"/>
                <w:b w:val="0"/>
                <w:sz w:val="17"/>
              </w:rPr>
              <w:t>2.40</w:t>
            </w:r>
          </w:p>
        </w:tc>
        <w:tc>
          <w:tcPr>
            <w:tcW w:w="2000" w:type="dxa"/>
            <w:tcMar>
              <w:top w:w="80" w:type="dxa"/>
              <w:left w:w="90" w:type="dxa"/>
              <w:bottom w:w="80" w:type="dxa"/>
              <w:right w:w="90" w:type="dxa"/>
            </w:tcMar>
            <w:vAlign w:val="center"/>
          </w:tcPr>
          <w:p w14:paraId="341F9C49">
            <w:pPr>
              <w:spacing w:before="0" w:after="0" w:line="240" w:lineRule="auto"/>
              <w:jc w:val="center"/>
            </w:pPr>
            <w:r>
              <w:rPr>
                <w:rFonts w:ascii="Times New Roman" w:hAnsi="Times New Roman" w:eastAsia="宋体"/>
                <w:b w:val="0"/>
                <w:sz w:val="17"/>
              </w:rPr>
              <w:t>管输（90%）、公路（10%）</w:t>
            </w:r>
          </w:p>
        </w:tc>
      </w:tr>
      <w:tr w14:paraId="6BD3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513D7BB2">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05E2DD90">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0ED4B017">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356725B8">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5AC9AABB">
            <w:pPr>
              <w:spacing w:before="0" w:after="0" w:line="240" w:lineRule="auto"/>
              <w:jc w:val="center"/>
            </w:pPr>
            <w:r>
              <w:rPr>
                <w:rFonts w:ascii="Times New Roman" w:hAnsi="Times New Roman" w:eastAsia="宋体"/>
                <w:b w:val="0"/>
                <w:sz w:val="17"/>
              </w:rPr>
              <w:t>58.90</w:t>
            </w:r>
          </w:p>
        </w:tc>
        <w:tc>
          <w:tcPr>
            <w:tcW w:w="1250" w:type="dxa"/>
            <w:tcMar>
              <w:top w:w="80" w:type="dxa"/>
              <w:left w:w="90" w:type="dxa"/>
              <w:bottom w:w="80" w:type="dxa"/>
              <w:right w:w="90" w:type="dxa"/>
            </w:tcMar>
            <w:vAlign w:val="center"/>
          </w:tcPr>
          <w:p w14:paraId="5A3B26DC">
            <w:pPr>
              <w:spacing w:before="0" w:after="0" w:line="240" w:lineRule="auto"/>
              <w:jc w:val="center"/>
            </w:pPr>
            <w:r>
              <w:rPr>
                <w:rFonts w:ascii="Times New Roman" w:hAnsi="Times New Roman" w:eastAsia="宋体"/>
                <w:b w:val="0"/>
                <w:sz w:val="17"/>
              </w:rPr>
              <w:t>8.10</w:t>
            </w:r>
          </w:p>
        </w:tc>
        <w:tc>
          <w:tcPr>
            <w:tcW w:w="2000" w:type="dxa"/>
            <w:tcMar>
              <w:top w:w="80" w:type="dxa"/>
              <w:left w:w="90" w:type="dxa"/>
              <w:bottom w:w="80" w:type="dxa"/>
              <w:right w:w="90" w:type="dxa"/>
            </w:tcMar>
            <w:vAlign w:val="center"/>
          </w:tcPr>
          <w:p w14:paraId="0F84AD4B">
            <w:pPr>
              <w:spacing w:before="0" w:after="0" w:line="240" w:lineRule="auto"/>
              <w:jc w:val="center"/>
            </w:pPr>
            <w:r>
              <w:rPr>
                <w:rFonts w:ascii="Times New Roman" w:hAnsi="Times New Roman" w:eastAsia="宋体"/>
                <w:b w:val="0"/>
                <w:sz w:val="17"/>
              </w:rPr>
              <w:t>—</w:t>
            </w:r>
          </w:p>
        </w:tc>
      </w:tr>
    </w:tbl>
    <w:p w14:paraId="1EB5C24F">
      <w:pPr>
        <w:bidi w:val="0"/>
      </w:pPr>
      <w:r>
        <w:t>由表3-2可知，本油库年进库总量为67×10⁴t，年出库总量为67×10⁴t，其中管输出库量为58.9×10⁴t，公路出库量为8.1×10⁴t。由于油库全年进库量和出库量保持平衡，储罐容量计算中的年周转量应取年进库量或年出库量中的一项，不应将二者相加，否则会造成重复计算。因此，92号汽油、95号汽油和0号柴油的设计年周转量分别取28×10⁴t、15×10⁴t和24×10⁴t。</w:t>
      </w:r>
    </w:p>
    <w:p w14:paraId="3FCBC454">
      <w:pPr>
        <w:bidi w:val="0"/>
        <w:rPr>
          <w:rStyle w:val="7"/>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7"/>
          <w:rFonts w:ascii="Times New Roman" w:hAnsi="Times New Roman" w:cs="Times New Roman"/>
        </w:rPr>
        <w:t>[19]</w:t>
      </w:r>
    </w:p>
    <w:p w14:paraId="37452395">
      <w:pPr>
        <w:bidi w:val="0"/>
      </w:pPr>
      <w:r>
        <w:t>各油品所需公称储存容量按下式计算：</w:t>
      </w:r>
    </w:p>
    <w:p w14:paraId="4F1624CA">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2CC8B47A">
      <w:pPr>
        <w:bidi w:val="0"/>
      </w:pPr>
      <w:r>
        <w:t>式中：</w:t>
      </w:r>
    </w:p>
    <w:p w14:paraId="793C5E7D">
      <w:pPr>
        <w:bidi w:val="0"/>
        <w:rPr>
          <w:rFonts w:hint="eastAsia"/>
        </w:rPr>
      </w:pPr>
      <w:r>
        <w:rPr>
          <w:rFonts w:hint="eastAsia"/>
        </w:rPr>
        <w:t>V。—-某种油品的设计容量,m’;G—该种油品的年周转额;1;</w:t>
      </w:r>
    </w:p>
    <w:p w14:paraId="202C1606">
      <w:pPr>
        <w:bidi w:val="0"/>
        <w:rPr>
          <w:rFonts w:hint="eastAsia"/>
        </w:rPr>
      </w:pPr>
      <w:r>
        <w:rPr>
          <w:rFonts w:hint="eastAsia"/>
        </w:rPr>
        <w:t>K一—该种油品的周转系数,我国商业系统，一、二级油库K=1～3；三级及其以下的油</w:t>
      </w:r>
    </w:p>
    <w:p w14:paraId="7772BD4F">
      <w:pPr>
        <w:bidi w:val="0"/>
        <w:rPr>
          <w:rFonts w:hint="eastAsia"/>
        </w:rPr>
      </w:pPr>
      <w:r>
        <w:rPr>
          <w:rFonts w:hint="eastAsia"/>
        </w:rPr>
        <w:t>库=4～8;有条件时,K 值最好通过调查分析决定；</w:t>
      </w:r>
    </w:p>
    <w:p w14:paraId="1E9D3E9A">
      <w:pPr>
        <w:bidi w:val="0"/>
        <w:rPr>
          <w:rFonts w:hint="eastAsia"/>
        </w:rPr>
      </w:pPr>
      <w:r>
        <w:rPr>
          <w:rFonts w:hint="eastAsia"/>
        </w:rPr>
        <w:t>p——该种油品的密度,Vm²;</w:t>
      </w:r>
    </w:p>
    <w:p w14:paraId="2AC3CC47">
      <w:pPr>
        <w:bidi w:val="0"/>
        <w:rPr>
          <w:rFonts w:hint="eastAsia"/>
        </w:rPr>
      </w:pPr>
      <w:r>
        <w:t>η</w:t>
      </w:r>
      <w:r>
        <w:rPr>
          <w:rFonts w:hint="eastAsia"/>
        </w:rPr>
        <w:t>—一油利用系数，一般轻油取=0.95;重油取=0.85;储存重质油的非金属罐取</w:t>
      </w:r>
    </w:p>
    <w:p w14:paraId="6B70E56F">
      <w:pPr>
        <w:bidi w:val="0"/>
      </w:pPr>
      <w:r>
        <w:rPr>
          <w:rFonts w:hint="eastAsia"/>
        </w:rPr>
        <w:t>n =0.75</w:t>
      </w:r>
    </w:p>
    <w:p w14:paraId="2F17CB69">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Fonts w:hint="eastAsia"/>
          <w:lang w:eastAsia="zh-CN"/>
        </w:rPr>
        <w:t>，</w:t>
      </w:r>
      <w:r>
        <w:rPr>
          <w:rFonts w:hint="eastAsia"/>
          <w:lang w:val="en-US" w:eastAsia="zh-CN"/>
        </w:rPr>
        <w:t>K值拟定为3，若计算结果与之不符再进一步取值。</w:t>
      </w:r>
      <w:bookmarkStart w:id="0" w:name="_GoBack"/>
      <w:bookmarkEnd w:id="0"/>
      <w:r>
        <w:rPr>
          <w:rStyle w:val="7"/>
        </w:rPr>
        <w:footnoteReference w:id="0"/>
      </w:r>
    </w:p>
    <w:p w14:paraId="0D9D85D8">
      <w:pPr>
        <w:bidi w:val="0"/>
      </w:pPr>
      <w:r>
        <w:t>（1）92号汽油储存容量</w:t>
      </w:r>
    </w:p>
    <w:p w14:paraId="64462853">
      <w:pPr>
        <w:bidi w:val="0"/>
      </w:pPr>
      <w:r>
        <w:t>92号汽油年进库量和年出库量均为28×10⁴t，其中管输出库量为23.8×10⁴t，公路出库量为4.2×10⁴t。</w:t>
      </w:r>
    </w:p>
    <w:p w14:paraId="3791FC01">
      <w:pPr>
        <w:bidi w:val="0"/>
      </w:pPr>
      <w:r>
        <w:t>92号汽油所需公称储存容量为：</w:t>
      </w:r>
    </w:p>
    <w:p w14:paraId="73109BFE">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ascii="Times New Roman" w:hAnsi="Times New Roman"/>
                </w:rPr>
                <m:t>280000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130994</m:t>
          </m:r>
          <m:r>
            <m:rPr>
              <m:sty m:val="p"/>
            </m:rPr>
            <w:rPr>
              <w:rFonts w:ascii="Times New Roman" w:hAnsi="Times New Roman"/>
            </w:rPr>
            <m:t xml:space="preserve"> m³</m:t>
          </m:r>
        </m:oMath>
      </m:oMathPara>
    </w:p>
    <w:p w14:paraId="1C51572A">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计算所需容量约为130994 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座50000 m³内浮顶储罐</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1座30000m³</w:t>
      </w:r>
      <w:r>
        <w:rPr>
          <w:rFonts w:ascii="Times New Roman" w:hAnsi="Times New Roman" w:eastAsia="Times New Roman" w:cs="Times New Roman"/>
          <w:sz w:val="24"/>
          <w:szCs w:val="24"/>
        </w:rPr>
        <w:t>内浮顶储罐</w:t>
      </w:r>
      <w:r>
        <w:rPr>
          <w:rFonts w:hint="eastAsia" w:ascii="Times New Roman" w:hAnsi="Times New Roman" w:eastAsia="宋体" w:cs="Times New Roman"/>
          <w:sz w:val="24"/>
          <w:szCs w:val="24"/>
          <w:lang w:val="en-US" w:eastAsia="zh-CN"/>
        </w:rPr>
        <w:t>和1座10000m³</w:t>
      </w:r>
      <w:r>
        <w:rPr>
          <w:rFonts w:ascii="Times New Roman" w:hAnsi="Times New Roman" w:eastAsia="Times New Roman" w:cs="Times New Roman"/>
          <w:sz w:val="24"/>
          <w:szCs w:val="24"/>
        </w:rPr>
        <w:t>内浮顶储罐，总公称容量为1</w:t>
      </w:r>
      <w:r>
        <w:rPr>
          <w:rFonts w:hint="eastAsia" w:ascii="Times New Roman" w:hAnsi="Times New Roman" w:eastAsia="宋体" w:cs="Times New Roman"/>
          <w:sz w:val="24"/>
          <w:szCs w:val="24"/>
          <w:lang w:val="en-US" w:eastAsia="zh-CN"/>
        </w:rPr>
        <w:t>4</w:t>
      </w:r>
      <w:r>
        <w:rPr>
          <w:rFonts w:ascii="Times New Roman" w:hAnsi="Times New Roman" w:eastAsia="Times New Roman" w:cs="Times New Roman"/>
          <w:sz w:val="24"/>
          <w:szCs w:val="24"/>
        </w:rPr>
        <w:t>0000 m³，大于计算容量130994 m³，满足储存和周转要求。</w:t>
      </w:r>
    </w:p>
    <w:p w14:paraId="33324F70">
      <w:pPr>
        <w:bidi w:val="0"/>
      </w:pPr>
      <w:r>
        <w:t>（2）95号汽油储存容量</w:t>
      </w:r>
    </w:p>
    <w:p w14:paraId="73C709D3">
      <w:pPr>
        <w:bidi w:val="0"/>
      </w:pPr>
      <w:r>
        <w:t>95号汽油年进库量和年出库量均为15×10⁴t，其中管输出库量为13.5×10⁴t，公路出库量为1.5×10⁴t。</w:t>
      </w:r>
    </w:p>
    <w:p w14:paraId="6DF5C339">
      <w:pPr>
        <w:bidi w:val="0"/>
      </w:pPr>
      <w:r>
        <w:t>95号汽油所需公称储存容量为：</w:t>
      </w:r>
    </w:p>
    <w:p w14:paraId="0F0FC462">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ascii="Times New Roman" w:hAnsi="Times New Roman"/>
                </w:rPr>
                <m:t>150000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70175</m:t>
          </m:r>
          <m:r>
            <m:rPr>
              <m:sty m:val="p"/>
            </m:rPr>
            <w:rPr>
              <w:rFonts w:ascii="Times New Roman" w:hAnsi="Times New Roman"/>
            </w:rPr>
            <m:t xml:space="preserve"> m³</m:t>
          </m:r>
        </m:oMath>
      </m:oMathPara>
    </w:p>
    <w:p w14:paraId="2401F77B">
      <w:pPr>
        <w:bidi w:val="0"/>
      </w:pPr>
      <w:r>
        <w:t>计算所需容量约为15038m³。95号汽油选用2座10000m³内浮顶储罐，总公称容量为：</w:t>
      </w:r>
    </w:p>
    <w:p w14:paraId="54007087">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=2×10000=20000 m³</m:t>
          </m:r>
        </m:oMath>
      </m:oMathPara>
    </w:p>
    <w:p w14:paraId="73084F10">
      <w:pPr>
        <w:bidi w:val="0"/>
      </w:pPr>
      <w:r>
        <w:t>计算所需容量约为70175 m³。选用</w:t>
      </w:r>
      <w:r>
        <w:rPr>
          <w:rFonts w:hint="eastAsia"/>
          <w:lang w:val="en-US" w:eastAsia="zh-CN"/>
        </w:rPr>
        <w:t>1</w:t>
      </w:r>
      <w:r>
        <w:t>座50000 m³内浮顶储罐</w:t>
      </w:r>
      <w:r>
        <w:rPr>
          <w:rFonts w:hint="eastAsia"/>
          <w:lang w:val="en-US" w:eastAsia="zh-CN"/>
        </w:rPr>
        <w:t>和一座30000</w:t>
      </w:r>
      <w:r>
        <w:t>m³内浮顶储罐，总公称容量为</w:t>
      </w:r>
      <w:r>
        <w:rPr>
          <w:rFonts w:hint="eastAsia"/>
          <w:lang w:val="en-US" w:eastAsia="zh-CN"/>
        </w:rPr>
        <w:t>8</w:t>
      </w:r>
      <w:r>
        <w:t>0000 m³，大于计算容量70175 m³，满足储存和周转要求。设置2座储罐可满足油品分批接收、静置检验和储罐轮换检修的要求。</w:t>
      </w:r>
    </w:p>
    <w:p w14:paraId="401B2EBB">
      <w:pPr>
        <w:bidi w:val="0"/>
      </w:pPr>
      <w:r>
        <w:t>（3）0号柴油储存容量</w:t>
      </w:r>
    </w:p>
    <w:p w14:paraId="2E27682C">
      <w:pPr>
        <w:bidi w:val="0"/>
      </w:pPr>
      <w:r>
        <w:t>0号柴油年进库量和年出库量均为24×10⁴t，其中管输出库量为21.6×10⁴t，公路出库量为2.4×10⁴t。</w:t>
      </w:r>
    </w:p>
    <w:p w14:paraId="7824940C">
      <w:pPr>
        <w:bidi w:val="0"/>
      </w:pPr>
      <w:r>
        <w:t>0号柴油所需公称储存容量为：</w:t>
      </w:r>
    </w:p>
    <w:p w14:paraId="5622851D">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ascii="Times New Roman" w:hAnsi="Times New Roman"/>
                </w:rPr>
                <m:t>240000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100250</m:t>
          </m:r>
          <m:r>
            <m:rPr>
              <m:sty m:val="p"/>
            </m:rPr>
            <w:rPr>
              <w:rFonts w:ascii="Times New Roman" w:hAnsi="Times New Roman"/>
            </w:rPr>
            <m:t xml:space="preserve"> m³</m:t>
          </m:r>
        </m:oMath>
      </m:oMathPara>
    </w:p>
    <w:p w14:paraId="7A3FFC89">
      <w:pPr>
        <w:spacing w:before="60" w:after="60" w:line="360" w:lineRule="auto"/>
        <w:ind w:firstLine="480"/>
      </w:pPr>
      <w:r>
        <w:rPr>
          <w:rFonts w:ascii="Times New Roman" w:hAnsi="Times New Roman" w:eastAsia="Times New Roman" w:cs="Times New Roman"/>
          <w:sz w:val="24"/>
          <w:szCs w:val="24"/>
        </w:rPr>
        <w:t>计算所需容量约为100251 m³。选用</w:t>
      </w:r>
      <w:r>
        <w:rPr>
          <w:rFonts w:hint="eastAsia" w:ascii="Times New Roman" w:hAnsi="Times New Roman" w:cs="Times New Roman"/>
          <w:sz w:val="24"/>
          <w:szCs w:val="24"/>
          <w:lang w:val="en-US" w:eastAsia="zh-CN"/>
        </w:rPr>
        <w:t>3</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m³固定顶储罐</w:t>
      </w:r>
      <w:r>
        <w:rPr>
          <w:rFonts w:hint="eastAsia" w:ascii="Times New Roman" w:hAnsi="Times New Roman" w:eastAsia="宋体" w:cs="Times New Roman"/>
          <w:sz w:val="24"/>
          <w:szCs w:val="24"/>
          <w:lang w:val="en-US" w:eastAsia="zh-CN"/>
        </w:rPr>
        <w:t>和</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座1</w:t>
      </w:r>
      <w:r>
        <w:rPr>
          <w:rFonts w:hint="eastAsia" w:ascii="Times New Roman" w:hAnsi="Times New Roman" w:cs="Times New Roman"/>
          <w:sz w:val="24"/>
          <w:szCs w:val="24"/>
          <w:lang w:val="en-US" w:eastAsia="zh-CN"/>
        </w:rPr>
        <w:t>0</w:t>
      </w:r>
      <w:r>
        <w:rPr>
          <w:rFonts w:hint="eastAsia" w:ascii="Times New Roman" w:hAnsi="Times New Roman" w:eastAsia="宋体" w:cs="Times New Roman"/>
          <w:sz w:val="24"/>
          <w:szCs w:val="24"/>
          <w:lang w:val="en-US" w:eastAsia="zh-CN"/>
        </w:rPr>
        <w:t>000</w:t>
      </w:r>
      <w:r>
        <w:rPr>
          <w:rFonts w:ascii="Times New Roman" w:hAnsi="Times New Roman" w:eastAsia="Times New Roman" w:cs="Times New Roman"/>
          <w:sz w:val="24"/>
          <w:szCs w:val="24"/>
        </w:rPr>
        <w:t>m³固定顶储罐，总公称容量为1</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0000</w:t>
      </w:r>
      <w:r>
        <w:rPr>
          <w:rFonts w:ascii="Times New Roman" w:hAnsi="Times New Roman" w:eastAsia="Times New Roman" w:cs="Times New Roman"/>
          <w:sz w:val="24"/>
          <w:szCs w:val="24"/>
        </w:rPr>
        <w:t xml:space="preserve"> m³，大于计算容量100251 m³，满足储存和周转要求。</w:t>
      </w:r>
    </w:p>
    <w:p w14:paraId="67962115">
      <w:pPr>
        <w:bidi w:val="0"/>
      </w:pPr>
      <w:r>
        <w:t>各油品储罐容量计算及选型结果见表3-3。</w:t>
      </w:r>
    </w:p>
    <w:p w14:paraId="7BB353F9">
      <w:pPr>
        <w:pStyle w:val="10"/>
        <w:bidi w:val="0"/>
      </w:pPr>
      <w:r>
        <w:t>表3-3  储罐容量计算及选型结果</w:t>
      </w:r>
    </w:p>
    <w:tbl>
      <w:tblPr>
        <w:tblStyle w:val="4"/>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0E4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0DD329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0018867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36BD2BA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180888D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5294F9C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438D434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50DBE61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121B7AB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25C2981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411F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29F26DF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5BB63CB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28</w:t>
            </w:r>
          </w:p>
        </w:tc>
        <w:tc>
          <w:tcPr>
            <w:tcW w:w="933" w:type="dxa"/>
            <w:vAlign w:val="top"/>
          </w:tcPr>
          <w:p w14:paraId="5F872C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F2D45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052E499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7E209B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130994</w:t>
            </w:r>
          </w:p>
        </w:tc>
        <w:tc>
          <w:tcPr>
            <w:tcW w:w="933" w:type="dxa"/>
            <w:vAlign w:val="top"/>
          </w:tcPr>
          <w:p w14:paraId="136824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73B7DAB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座×50000 m³</w:t>
            </w:r>
          </w:p>
          <w:p w14:paraId="1DFA71B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p w14:paraId="5F7D52D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m³</w:t>
            </w:r>
          </w:p>
        </w:tc>
        <w:tc>
          <w:tcPr>
            <w:tcW w:w="957" w:type="dxa"/>
            <w:vAlign w:val="top"/>
          </w:tcPr>
          <w:p w14:paraId="3877C60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24CD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3EC0C00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632B3D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15</w:t>
            </w:r>
          </w:p>
        </w:tc>
        <w:tc>
          <w:tcPr>
            <w:tcW w:w="933" w:type="dxa"/>
            <w:vAlign w:val="top"/>
          </w:tcPr>
          <w:p w14:paraId="35B094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73945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23A40F5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5C6D5A5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70175</w:t>
            </w:r>
          </w:p>
        </w:tc>
        <w:tc>
          <w:tcPr>
            <w:tcW w:w="933" w:type="dxa"/>
            <w:vAlign w:val="top"/>
          </w:tcPr>
          <w:p w14:paraId="2CC430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2142E83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rPr>
              <w:t>座×50000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eastAsia="宋体"/>
                <w:b w:val="0"/>
                <w:kern w:val="0"/>
                <w:sz w:val="16"/>
                <w:szCs w:val="22"/>
                <w:lang w:val="en-US" w:eastAsia="zh-CN"/>
              </w:rPr>
              <w:t>30000</w:t>
            </w:r>
            <w:r>
              <w:rPr>
                <w:rFonts w:hint="eastAsia" w:ascii="Times New Roman" w:hAnsi="Times New Roman" w:eastAsia="宋体"/>
                <w:b w:val="0"/>
                <w:kern w:val="0"/>
                <w:sz w:val="16"/>
                <w:szCs w:val="22"/>
              </w:rPr>
              <w:t>m³</w:t>
            </w:r>
          </w:p>
        </w:tc>
        <w:tc>
          <w:tcPr>
            <w:tcW w:w="957" w:type="dxa"/>
            <w:vAlign w:val="top"/>
          </w:tcPr>
          <w:p w14:paraId="6D990C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80000</w:t>
            </w:r>
          </w:p>
        </w:tc>
      </w:tr>
      <w:tr w14:paraId="7E26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5B604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1056913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24</w:t>
            </w:r>
          </w:p>
        </w:tc>
        <w:tc>
          <w:tcPr>
            <w:tcW w:w="933" w:type="dxa"/>
            <w:vAlign w:val="top"/>
          </w:tcPr>
          <w:p w14:paraId="3C99E2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157FE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4E808E8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2BA1053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100251</w:t>
            </w:r>
          </w:p>
        </w:tc>
        <w:tc>
          <w:tcPr>
            <w:tcW w:w="933" w:type="dxa"/>
            <w:vAlign w:val="top"/>
          </w:tcPr>
          <w:p w14:paraId="379BBDA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1690BF0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p w14:paraId="321F9A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和2座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 xml:space="preserve"> m³</w:t>
            </w:r>
          </w:p>
        </w:tc>
        <w:tc>
          <w:tcPr>
            <w:tcW w:w="957" w:type="dxa"/>
            <w:vAlign w:val="top"/>
          </w:tcPr>
          <w:p w14:paraId="6C9E60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10</w:t>
            </w:r>
            <w:r>
              <w:rPr>
                <w:rFonts w:hint="eastAsia" w:ascii="Times New Roman" w:hAnsi="Times New Roman" w:eastAsia="宋体"/>
                <w:b w:val="0"/>
                <w:kern w:val="0"/>
                <w:sz w:val="16"/>
                <w:szCs w:val="22"/>
                <w:lang w:val="en-US" w:eastAsia="zh-CN"/>
              </w:rPr>
              <w:t>000</w:t>
            </w:r>
          </w:p>
        </w:tc>
      </w:tr>
      <w:tr w14:paraId="43BF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F743B6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03D479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67</w:t>
            </w:r>
          </w:p>
        </w:tc>
        <w:tc>
          <w:tcPr>
            <w:tcW w:w="933" w:type="dxa"/>
            <w:vAlign w:val="top"/>
          </w:tcPr>
          <w:p w14:paraId="688BCA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15399E3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25FE663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746333F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301420</w:t>
            </w:r>
          </w:p>
        </w:tc>
        <w:tc>
          <w:tcPr>
            <w:tcW w:w="933" w:type="dxa"/>
            <w:vAlign w:val="top"/>
          </w:tcPr>
          <w:p w14:paraId="1683E40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F2F98B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8座</w:t>
            </w:r>
          </w:p>
        </w:tc>
        <w:tc>
          <w:tcPr>
            <w:tcW w:w="957" w:type="dxa"/>
            <w:vAlign w:val="top"/>
          </w:tcPr>
          <w:p w14:paraId="68E621F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33000</w:t>
            </w:r>
          </w:p>
        </w:tc>
      </w:tr>
    </w:tbl>
    <w:p w14:paraId="6975CC7E">
      <w:pPr>
        <w:spacing w:before="60" w:after="60" w:line="360" w:lineRule="auto"/>
        <w:ind w:firstLine="480"/>
      </w:pPr>
      <w:r>
        <w:rPr>
          <w:rFonts w:ascii="Times New Roman" w:hAnsi="Times New Roman" w:eastAsia="Times New Roman" w:cs="Times New Roman"/>
          <w:sz w:val="24"/>
          <w:szCs w:val="24"/>
        </w:rPr>
        <w:t>本油库共设置8座储罐，其中92号汽油储罐3座、95号汽油储罐2座、0号柴油储罐3座，储罐实际公称总容量为</w:t>
      </w:r>
      <w:r>
        <w:rPr>
          <w:rFonts w:hint="eastAsia" w:ascii="Times New Roman" w:hAnsi="Times New Roman" w:eastAsia="宋体" w:cs="Times New Roman"/>
          <w:sz w:val="24"/>
          <w:szCs w:val="24"/>
          <w:lang w:val="en-US" w:eastAsia="zh-CN"/>
        </w:rPr>
        <w:t>330000</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6445F438">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5186461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77FF23ED">
      <w:pPr>
        <w:bidi w:val="0"/>
      </w:pPr>
      <m:oMathPara>
        <m:oMath>
          <m:r>
            <m:rPr>
              <m:sty m:val="p"/>
            </m:rPr>
            <w:rPr>
              <w:rFonts w:ascii="Times New Roman" w:hAnsi="Times New Roman"/>
            </w:rPr>
            <m:t>TV=</m:t>
          </m:r>
          <m:r>
            <m:rPr>
              <m:sty m:val="p"/>
            </m:rPr>
            <w:rPr>
              <w:rFonts w:hint="default" w:ascii="Times New Roman" w:hAnsi="Times New Roman"/>
              <w:lang w:val="en-US" w:eastAsia="zh-CN"/>
            </w:rPr>
            <m:t>140000</m:t>
          </m:r>
          <m:r>
            <m:rPr>
              <m:sty m:val="p"/>
            </m:rPr>
            <w:rPr>
              <w:rFonts w:ascii="Times New Roman" w:hAnsi="Times New Roman"/>
            </w:rPr>
            <m:t>+</m:t>
          </m:r>
          <m:r>
            <m:rPr>
              <m:sty m:val="p"/>
            </m:rPr>
            <w:rPr>
              <w:rFonts w:hint="default" w:ascii="Times New Roman" w:hAnsi="Times New Roman"/>
              <w:lang w:val="en-US" w:eastAsia="zh-CN"/>
            </w:rPr>
            <m:t>80000</m:t>
          </m:r>
          <m:r>
            <m:rPr>
              <m:sty m:val="p"/>
            </m:rPr>
            <w:rPr>
              <w:rFonts w:ascii="Times New Roman" w:hAnsi="Times New Roman"/>
            </w:rPr>
            <m:t>+</m:t>
          </m:r>
          <m:r>
            <m:rPr>
              <m:sty m:val="p"/>
            </m:rPr>
            <w:rPr>
              <w:rFonts w:hint="default" w:ascii="Times New Roman" w:hAnsi="Times New Roman"/>
              <w:lang w:val="en-US" w:eastAsia="zh-CN"/>
            </w:rPr>
            <m:t>110000</m:t>
          </m:r>
          <m:r>
            <m:rPr>
              <m:sty m:val="p"/>
            </m:rPr>
            <w:rPr>
              <w:rFonts w:ascii="Times New Roman" w:hAnsi="Times New Roman"/>
            </w:rPr>
            <m:t>×0.5=</m:t>
          </m:r>
          <m:r>
            <m:rPr>
              <m:sty m:val="p"/>
            </m:rPr>
            <w:rPr>
              <w:rFonts w:hint="default" w:ascii="Times New Roman" w:hAnsi="Times New Roman"/>
              <w:lang w:val="en-US" w:eastAsia="zh-CN"/>
            </w:rPr>
            <m:t>275000</m:t>
          </m:r>
          <m:r>
            <m:rPr>
              <m:sty m:val="p"/>
            </m:rPr>
            <w:rPr>
              <w:rFonts w:ascii="Times New Roman" w:hAnsi="Times New Roman"/>
            </w:rPr>
            <m:t xml:space="preserve"> m³</m:t>
          </m:r>
        </m:oMath>
      </m:oMathPara>
    </w:p>
    <w:p w14:paraId="230A1005">
      <w:pPr>
        <w:bidi w:val="0"/>
      </w:pPr>
      <w:r>
        <w:t>式中，92号汽油储罐容量为</w:t>
      </w:r>
      <w:r>
        <w:rPr>
          <w:rFonts w:hint="eastAsia"/>
          <w:lang w:val="en-US" w:eastAsia="zh-CN"/>
        </w:rPr>
        <w:t>140000</w:t>
      </w:r>
      <w:r>
        <w:t>m³，95号汽油储罐容量为</w:t>
      </w:r>
      <w:r>
        <w:rPr>
          <w:rFonts w:hint="eastAsia"/>
          <w:lang w:val="en-US" w:eastAsia="zh-CN"/>
        </w:rPr>
        <w:t>8</w:t>
      </w:r>
      <w:r>
        <w:t>0000m³，0号柴油储罐实际公称容量为</w:t>
      </w:r>
      <w:r>
        <w:rPr>
          <w:rFonts w:hint="eastAsia"/>
          <w:lang w:val="en-US" w:eastAsia="zh-CN"/>
        </w:rPr>
        <w:t>110000</w:t>
      </w:r>
      <w:r>
        <w:t>m³，折算后计入储罐计算总容量的容量为</w:t>
      </w:r>
      <w:r>
        <w:rPr>
          <w:rFonts w:hint="eastAsia"/>
          <w:lang w:val="en-US" w:eastAsia="zh-CN"/>
        </w:rPr>
        <w:t>275000</w:t>
      </w:r>
      <w:r>
        <w:t>m³。</w:t>
      </w:r>
    </w:p>
    <w:p w14:paraId="4EF096A4">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330000</w:t>
      </w:r>
      <w:r>
        <w:t>m³，用于油库等级划分的储罐计算总容量为</w:t>
      </w:r>
      <w:r>
        <w:rPr>
          <w:rFonts w:hint="eastAsia"/>
          <w:lang w:val="en-US" w:eastAsia="zh-CN"/>
        </w:rPr>
        <w:t>275000</w:t>
      </w:r>
      <w:r>
        <w:t>m³，因此本油库确定为</w:t>
      </w:r>
      <w:r>
        <w:rPr>
          <w:rFonts w:hint="eastAsia"/>
          <w:lang w:val="en-US" w:eastAsia="zh-CN"/>
        </w:rPr>
        <w:t>一</w:t>
      </w:r>
      <w:r>
        <w:t>级石油库。</w:t>
      </w:r>
    </w:p>
    <w:p w14:paraId="2EE74CD3">
      <w:pPr>
        <w:pStyle w:val="9"/>
        <w:bidi w:val="0"/>
        <w:rPr>
          <w:rFonts w:hint="eastAsia"/>
          <w:lang w:val="en-US" w:eastAsia="zh-CN"/>
        </w:rPr>
      </w:pPr>
      <w:r>
        <w:rPr>
          <w:rFonts w:hint="eastAsia"/>
          <w:lang w:val="en-US" w:eastAsia="zh-CN"/>
        </w:rPr>
        <w:t>4.3油库的分区</w:t>
      </w:r>
    </w:p>
    <w:p w14:paraId="40EA8CD1">
      <w:pPr>
        <w:bidi w:val="0"/>
        <w:rPr>
          <w:rFonts w:hint="eastAsia"/>
        </w:rPr>
      </w:pPr>
      <w:r>
        <w:rPr>
          <w:rFonts w:hint="eastAsia"/>
        </w:rPr>
        <w:t>根据上一节计算结果，本油库用于等级划分的储罐计算总容量为65000m³，属于二级石油库。油库内各类设施在生产操作方式、油气散发程度、火灾危险性和人员活动特点方面存在明显差异，因此必须按照功能和危险程度实施分区布置，使危险作业、辅助生产和行政管理相互协调，并限制无关人员和车辆进入生产作业区域。</w:t>
      </w:r>
      <w:r>
        <w:rPr>
          <w:rFonts w:hint="eastAsia" w:ascii="Times New Roman" w:hAnsi="Times New Roman" w:eastAsia="宋体" w:cs="Times New Roman"/>
          <w:sz w:val="18"/>
          <w:szCs w:val="22"/>
          <w:vertAlign w:val="superscript"/>
        </w:rPr>
        <w:t>[19][21]</w:t>
      </w:r>
    </w:p>
    <w:p w14:paraId="47001402">
      <w:pPr>
        <w:bidi w:val="0"/>
        <w:rPr>
          <w:rFonts w:hint="eastAsia"/>
        </w:rPr>
      </w:pPr>
      <w:r>
        <w:rPr>
          <w:rFonts w:hint="eastAsia"/>
        </w:rPr>
        <w:t>根据现行《石油库设计规范》GB 50074—2014第5.1.1条，石油库总平面应按储罐区、易燃和可燃液体装卸区、辅助作业区和行政管理区进行分区布置。结合本毕业设计采用的章节名称，库区相应划分为储油区、装卸区、辅助生产区和行政管理区四大功能区，其中“储油区”对应规范中的储罐区，“辅助生产区”对应规范中的辅助作业区。四个功能区之外不再单独设置生活区。</w:t>
      </w:r>
    </w:p>
    <w:p w14:paraId="5C9C6A31">
      <w:pPr>
        <w:bidi w:val="0"/>
        <w:rPr>
          <w:rFonts w:hint="eastAsia"/>
        </w:rPr>
      </w:pPr>
      <w:r>
        <w:rPr>
          <w:rFonts w:hint="eastAsia"/>
        </w:rPr>
        <w:t>油库分区应遵循分区明确、布局紧凑、流程顺畅、安全可靠和管理方便的原则。在满足防火间距的前提下，应缩短油品收发管线和公用工程管线，减少生产车辆与办公人员流线的交叉，并为消防救援、设备检修和油库后续发展保留必要条件。</w:t>
      </w:r>
      <w:r>
        <w:rPr>
          <w:rFonts w:hint="eastAsia" w:ascii="Times New Roman" w:hAnsi="Times New Roman" w:eastAsia="宋体" w:cs="Times New Roman"/>
          <w:sz w:val="18"/>
          <w:szCs w:val="22"/>
          <w:vertAlign w:val="superscript"/>
        </w:rPr>
        <w:t>[18][20]</w:t>
      </w:r>
    </w:p>
    <w:p w14:paraId="457349BD">
      <w:pPr>
        <w:bidi w:val="0"/>
        <w:rPr>
          <w:rFonts w:hint="eastAsia"/>
        </w:rPr>
      </w:pPr>
      <w:r>
        <w:rPr>
          <w:rFonts w:hint="eastAsia"/>
        </w:rPr>
        <w:t>本项目拟建于广州市黄埔区穗东街道附近。穗东街道现辖夏园、南湾、庙头和南石市4个社区，区域内分布有南海神庙等文物保护单位，属于城市社区、历史文化资源和产业交通条件并存的地区。</w:t>
      </w:r>
      <w:r>
        <w:rPr>
          <w:rFonts w:hint="eastAsia" w:ascii="Times New Roman" w:hAnsi="Times New Roman" w:eastAsia="宋体" w:cs="Times New Roman"/>
          <w:sz w:val="18"/>
          <w:szCs w:val="22"/>
          <w:vertAlign w:val="superscript"/>
        </w:rPr>
        <w:t>[22]</w:t>
      </w:r>
      <w:r>
        <w:rPr>
          <w:rFonts w:hint="eastAsia"/>
        </w:rPr>
        <w:t xml:space="preserve"> 因此，油库四区位置不能只按内部工艺关系确定，还应在取得准确用地红线和周边现状图后，复核与居民区、公共建筑、文物保护单位、城市道路和其他重要设施的距离，生产车辆路线不得穿行居民集中区域或影响主要公共交通。</w:t>
      </w:r>
    </w:p>
    <w:p w14:paraId="4D884651">
      <w:pPr>
        <w:bidi w:val="0"/>
        <w:rPr>
          <w:rFonts w:hint="eastAsia"/>
        </w:rPr>
      </w:pPr>
      <w:r>
        <w:rPr>
          <w:rFonts w:hint="eastAsia"/>
        </w:rPr>
        <w:t>黄埔区沿江地区受强降雨、台风、高潮位顶托和城市内涝共同影响的可能性较大，公开的防洪排涝资料记载，穗东街道部分低洼地区曾在台风风暴潮影响下发生内涝水浸。</w:t>
      </w:r>
      <w:r>
        <w:rPr>
          <w:rFonts w:hint="eastAsia" w:ascii="Times New Roman" w:hAnsi="Times New Roman" w:eastAsia="宋体" w:cs="Times New Roman"/>
          <w:sz w:val="18"/>
          <w:szCs w:val="22"/>
          <w:vertAlign w:val="superscript"/>
        </w:rPr>
        <w:t>[23]</w:t>
      </w:r>
      <w:r>
        <w:rPr>
          <w:rFonts w:hint="eastAsia"/>
        </w:rPr>
        <w:t xml:space="preserve"> 因此，本油库分区同时执行GB 50074—2014第5.3.1条关于防洪、防潮和防内涝的要求：储油区、消防及供配电等关键设施应避开场地低洼易涝位置，装卸区和行政管理区应保证暴雨期间仍具备安全通行及疏散条件；各区最终标高应以场地测量、设计洪潮水位和排水专项计算为依据。</w:t>
      </w:r>
    </w:p>
    <w:p w14:paraId="797F0F6B">
      <w:pPr>
        <w:bidi w:val="0"/>
        <w:rPr>
          <w:rFonts w:hint="eastAsia"/>
        </w:rPr>
      </w:pPr>
      <w:r>
        <w:rPr>
          <w:rFonts w:hint="eastAsia"/>
        </w:rPr>
        <w:t>根据本项目建设参数采用的广州黄埔地区近年气象统计资料，场址年平均气温为22.6℃，最热月月平均气温为29.3℃，最冷月月平均气温为14.2℃，绝对最高气温为39℃，绝对最低气温为1.8℃；全年平均降雨量为2240mm，日最大降雨量为346mm，平均降雨天数为153d；主导风向偏北，年平均风速为2.0m/s，最大风速为32.8m/s。</w:t>
      </w:r>
      <w:r>
        <w:rPr>
          <w:rFonts w:hint="eastAsia" w:ascii="Times New Roman" w:hAnsi="Times New Roman" w:eastAsia="宋体" w:cs="Times New Roman"/>
          <w:sz w:val="18"/>
          <w:szCs w:val="22"/>
          <w:vertAlign w:val="superscript"/>
        </w:rPr>
        <w:t>[24]</w:t>
      </w:r>
      <w:r>
        <w:rPr>
          <w:rFonts w:hint="eastAsia"/>
        </w:rPr>
        <w:t xml:space="preserve"> 上述条件表明分区设计应重点考虑暴雨排水、防潮防涝和大风工况：行政管理区在总图方案比选时宜优先考虑位于储油区及装卸区的偏北侧或其他不易受油气影响的位置，但最终相对方位须结合全年风频玫瑰图复核；装车棚、油气回收设施、室外管架和轻型附属构筑物还应在后续结构设计中进行抗风验算。</w:t>
      </w:r>
    </w:p>
    <w:p w14:paraId="182A3DE0">
      <w:pPr>
        <w:bidi w:val="0"/>
        <w:rPr>
          <w:rFonts w:hint="eastAsia"/>
        </w:rPr>
      </w:pPr>
      <w:r>
        <w:rPr>
          <w:rFonts w:hint="eastAsia"/>
        </w:rPr>
        <w:t>（1）储油区</w:t>
      </w:r>
    </w:p>
    <w:p w14:paraId="10675770">
      <w:pPr>
        <w:bidi w:val="0"/>
        <w:rPr>
          <w:rFonts w:hint="eastAsia"/>
        </w:rPr>
      </w:pPr>
      <w:r>
        <w:rPr>
          <w:rFonts w:hint="eastAsia"/>
        </w:rPr>
        <w:t>储油区是油库储存油品的核心区域，也是油库火灾危险性和油品集中程度最高的区域。本设计储油区共设置8座地上立式储罐，其中92号汽油设置3座10000m³内浮顶储罐，95号汽油设置2座10000m³内浮顶储罐，0号柴油设置3座10000m³固定顶储罐。汽油储罐和柴油储罐按油品火灾危险性及储罐形式分别组成罐组，各罐组分别设置防火堤，92号汽油、95号汽油和0号柴油采用独立储罐、罐前支线和阀组，防止油品错收、错发及不同牌号油品混合。</w:t>
      </w:r>
    </w:p>
    <w:p w14:paraId="0EEDD3C4">
      <w:pPr>
        <w:bidi w:val="0"/>
        <w:rPr>
          <w:rFonts w:hint="eastAsia"/>
        </w:rPr>
      </w:pPr>
      <w:r>
        <w:rPr>
          <w:rFonts w:hint="eastAsia"/>
        </w:rPr>
        <w:t>储油区宜布置在库区内部相对独立、地势较稳定且排水条件良好的位置，不得作为其他功能区之间的人员或车辆通行通道。结合穗东街道附近沿江地区的防潮排涝条件，储罐基础及罐区地坪标高应在场地洪潮水位和内涝风险分析基础上确定，不得将储罐组布置在场地自然汇水低点。区内除储罐外，主要布置罐前阀组、现场仪表、液位监测设施、紧急切断设施、消防设施及必要的操作检修通道。根据GB 50074—2014第5.2.1条，储罐区周围设置环形消防车道；消防道路、防火堤和工艺管线之间应留有消防操作及设备检修空间。</w:t>
      </w:r>
      <w:r>
        <w:rPr>
          <w:rFonts w:hint="eastAsia" w:ascii="Times New Roman" w:hAnsi="Times New Roman" w:eastAsia="宋体" w:cs="Times New Roman"/>
          <w:sz w:val="18"/>
          <w:szCs w:val="22"/>
          <w:vertAlign w:val="superscript"/>
        </w:rPr>
        <w:t>[18][19]</w:t>
      </w:r>
    </w:p>
    <w:p w14:paraId="6690B9DD">
      <w:pPr>
        <w:bidi w:val="0"/>
        <w:rPr>
          <w:rFonts w:hint="eastAsia"/>
        </w:rPr>
      </w:pPr>
      <w:r>
        <w:rPr>
          <w:rFonts w:hint="eastAsia"/>
        </w:rPr>
        <w:t>储罐布置应首先满足GB 50074—2014第6章关于储罐布置和防火间距的要求，储罐组防火堤应符合该规范第6.5节的规定。储油区的预留发展用地宜设置在罐组一侧，并与现有工艺管线、消防道路和后续扩建方向统一考虑，不应将预留罐位布置在现有危险设施与行政管理区之间。储油区集中布置有利于缩短工艺管线、减少消防道路长度并提高运行管理效率，但不得以压缩规范规定的防火间距为代价。</w:t>
      </w:r>
      <w:r>
        <w:rPr>
          <w:rFonts w:hint="eastAsia" w:ascii="Times New Roman" w:hAnsi="Times New Roman" w:eastAsia="宋体" w:cs="Times New Roman"/>
          <w:sz w:val="18"/>
          <w:szCs w:val="22"/>
          <w:vertAlign w:val="superscript"/>
        </w:rPr>
        <w:t>[20]</w:t>
      </w:r>
    </w:p>
    <w:p w14:paraId="50D152BC">
      <w:pPr>
        <w:bidi w:val="0"/>
        <w:rPr>
          <w:rFonts w:hint="eastAsia"/>
        </w:rPr>
      </w:pPr>
      <w:r>
        <w:rPr>
          <w:rFonts w:hint="eastAsia"/>
        </w:rPr>
        <w:t>（2）装卸区</w:t>
      </w:r>
    </w:p>
    <w:p w14:paraId="754528E8">
      <w:pPr>
        <w:bidi w:val="0"/>
        <w:rPr>
          <w:rFonts w:hint="eastAsia"/>
        </w:rPr>
      </w:pPr>
      <w:r>
        <w:rPr>
          <w:rFonts w:hint="eastAsia"/>
        </w:rPr>
        <w:t>装卸区承担油品进出油库的收发作业。根据本油库收发油方案，92号汽油、95号汽油和0号柴油均采用管道进库，出库采用管道运输和公路运输两种方式，因此装卸区由管道收发油设施和公路装车设施组成，不设置铁路装卸区和水运装卸区。</w:t>
      </w:r>
    </w:p>
    <w:p w14:paraId="256918DC">
      <w:pPr>
        <w:bidi w:val="0"/>
        <w:rPr>
          <w:rFonts w:hint="eastAsia"/>
        </w:rPr>
      </w:pPr>
      <w:r>
        <w:rPr>
          <w:rFonts w:hint="eastAsia"/>
        </w:rPr>
        <w:t>管道收发油设施主要包括库外管道接口、进出库阀组、过滤设施、计量设施、取样设施、输油泵及油品分配管线。管道接口和进出库阀组宜靠近外部输油管道进入库区的位置布置，使外部管道能够以较短路线接入装卸区和储油区，并减少管道穿越其他功能区的长度。输油泵和阀组的位置应根据收发油工艺确定，同时满足操作、检修、泄压和紧急切断要求。</w:t>
      </w:r>
    </w:p>
    <w:p w14:paraId="19DE3634">
      <w:pPr>
        <w:bidi w:val="0"/>
        <w:rPr>
          <w:rFonts w:hint="eastAsia"/>
        </w:rPr>
      </w:pPr>
      <w:r>
        <w:rPr>
          <w:rFonts w:hint="eastAsia"/>
        </w:rPr>
        <w:t>公路装车区宜布置在库区靠近对外公路的一侧，使汽车罐车完成检查、装车和复核后能够直接驶离，不需要穿越储油区、辅助生产区或行政管理区。结合穗东街道城市道路和社区分布条件，装车区对外连接道路应具备汽车罐车安全通行、转弯和应急疏散条件，车辆进出路线应避开居民集中区、学校、文物保护单位和人员密集公共场所；具体路线须根据正式选址周边道路交通调查确定。公路装车区应与其他功能区采用围墙、栅栏或受控通道进行分隔，并设置车辆检查、装车作业和必要的等候位置。装车车辆宜采用单向循环交通组织，避免车辆在装车作业区域频繁倒车、调头或与办公人员通道交叉。</w:t>
      </w:r>
      <w:r>
        <w:rPr>
          <w:rFonts w:hint="eastAsia" w:ascii="Times New Roman" w:hAnsi="Times New Roman" w:eastAsia="宋体" w:cs="Times New Roman"/>
          <w:sz w:val="18"/>
          <w:szCs w:val="22"/>
          <w:vertAlign w:val="superscript"/>
        </w:rPr>
        <w:t>[19][20][22]</w:t>
      </w:r>
    </w:p>
    <w:p w14:paraId="6FB7BBAF">
      <w:pPr>
        <w:bidi w:val="0"/>
        <w:rPr>
          <w:rFonts w:hint="eastAsia"/>
        </w:rPr>
      </w:pPr>
      <w:r>
        <w:rPr>
          <w:rFonts w:hint="eastAsia"/>
        </w:rPr>
        <w:t>公路装车区主要设置装车棚、装车岛、底部装车鹤管、定量装车控制设施、流量计、静电接地装置、防溢流联锁和紧急停车设施。按照现行《储油库大气污染物排放标准》GB 20950—2020第4.3节，汽油装车鹤位应设置密闭油气收集管线并接入油气回收装置。92号汽油、95号汽油和0号柴油分别设置明确的装车鹤位、管线及标识，装车控制系统应对油品牌号、车辆仓号和装载量进行核对，防止错装、混装和超装。</w:t>
      </w:r>
    </w:p>
    <w:p w14:paraId="7814EEC5">
      <w:pPr>
        <w:bidi w:val="0"/>
        <w:rPr>
          <w:rFonts w:hint="eastAsia"/>
        </w:rPr>
      </w:pPr>
      <w:r>
        <w:rPr>
          <w:rFonts w:hint="eastAsia"/>
        </w:rPr>
        <w:t>装卸区内建（构）筑物与储罐、行政管理设施及辅助生产设施之间的防火距离，应按照GB 50074—2014第5.1节及相关专门条款确定，不得直接采用旧版规范或其他油库设计中的距离数据。</w:t>
      </w:r>
    </w:p>
    <w:p w14:paraId="5FC27BED">
      <w:pPr>
        <w:bidi w:val="0"/>
        <w:rPr>
          <w:rFonts w:hint="eastAsia"/>
        </w:rPr>
      </w:pPr>
      <w:r>
        <w:rPr>
          <w:rFonts w:hint="eastAsia"/>
        </w:rPr>
        <w:t>（3）行政管理区</w:t>
      </w:r>
    </w:p>
    <w:p w14:paraId="4C11FA39">
      <w:pPr>
        <w:bidi w:val="0"/>
        <w:rPr>
          <w:rFonts w:hint="eastAsia"/>
        </w:rPr>
      </w:pPr>
      <w:r>
        <w:rPr>
          <w:rFonts w:hint="eastAsia"/>
        </w:rPr>
        <w:t>行政管理区是油库日常行政、业务联系和出入管理的区域，应布置在靠近库区主要人员出入口且便于对外联系的位置，并与储油区和装卸区保持规定的防火间距。结合穗东街道附近城市社区较多的特点，行政管理区应朝向人员进出较方便且不与汽车罐车路线交叉的一侧设置。该区应设置独立或受控的人员出入口，使外来办事人员和非生产人员不必进入储油区、装卸区及辅助生产区。</w:t>
      </w:r>
      <w:r>
        <w:rPr>
          <w:rFonts w:hint="eastAsia" w:ascii="Times New Roman" w:hAnsi="Times New Roman" w:eastAsia="宋体" w:cs="Times New Roman"/>
          <w:sz w:val="18"/>
          <w:szCs w:val="22"/>
          <w:vertAlign w:val="superscript"/>
        </w:rPr>
        <w:t>[19][21][22]</w:t>
      </w:r>
    </w:p>
    <w:p w14:paraId="234D4048">
      <w:pPr>
        <w:bidi w:val="0"/>
        <w:rPr>
          <w:rFonts w:hint="eastAsia"/>
        </w:rPr>
      </w:pPr>
      <w:r>
        <w:rPr>
          <w:rFonts w:hint="eastAsia"/>
        </w:rPr>
        <w:t>本设计行政管理区主要布置门卫、办公室、会议及资料管理等非生产性用房。行政管理区与生产作业区之间应设置实体围墙、围栏或门禁控制设施，人员通道与汽车罐车通道分开布置。行政管理建筑的位置还应结合当地全年风向和事故油气可能扩散方向综合确定，尽量降低生产区泄漏油气对办公人员的影响。</w:t>
      </w:r>
    </w:p>
    <w:p w14:paraId="753A4776">
      <w:pPr>
        <w:bidi w:val="0"/>
        <w:rPr>
          <w:rFonts w:hint="eastAsia"/>
        </w:rPr>
      </w:pPr>
      <w:r>
        <w:rPr>
          <w:rFonts w:hint="eastAsia"/>
        </w:rPr>
        <w:t>本设计任务书未提出职工宿舍、食堂和浴室等生活设施的建设要求，因此本设计不在库区内设置上述生活设施。后续确有建设需要时，应在库区外另行选址，并按有关规定确定其与石油库的安全距离。行政管理区不得承担汽车罐车等生产车辆的等候、停车和调头功能。</w:t>
      </w:r>
    </w:p>
    <w:p w14:paraId="19DA2196">
      <w:pPr>
        <w:bidi w:val="0"/>
        <w:rPr>
          <w:rFonts w:hint="eastAsia"/>
        </w:rPr>
      </w:pPr>
      <w:r>
        <w:rPr>
          <w:rFonts w:hint="eastAsia"/>
        </w:rPr>
        <w:t>（4）辅助生产区</w:t>
      </w:r>
    </w:p>
    <w:p w14:paraId="2A2A8229">
      <w:pPr>
        <w:bidi w:val="0"/>
        <w:rPr>
          <w:rFonts w:hint="eastAsia"/>
        </w:rPr>
      </w:pPr>
      <w:r>
        <w:rPr>
          <w:rFonts w:hint="eastAsia"/>
        </w:rPr>
        <w:t>辅助生产区用于布置保证油库安全运行、动力供应、设备维护、质量管理和环境保护所需的设施。本设计根据实际需要设置消防泵房、消防水池或消防水罐、变配电设施、生产控制及仪表设施、维修及器材储存设施、化验设施和含油污水处理设施。辅助生产设施在满足防火间距和独立运行要求的前提下可相对集中布置，以减少重复建设并便于运行管理。</w:t>
      </w:r>
      <w:r>
        <w:rPr>
          <w:rFonts w:hint="eastAsia" w:ascii="Times New Roman" w:hAnsi="Times New Roman" w:eastAsia="宋体" w:cs="Times New Roman"/>
          <w:sz w:val="18"/>
          <w:szCs w:val="22"/>
          <w:vertAlign w:val="superscript"/>
        </w:rPr>
        <w:t>[19][21]</w:t>
      </w:r>
    </w:p>
    <w:p w14:paraId="2A86A23D">
      <w:pPr>
        <w:bidi w:val="0"/>
        <w:rPr>
          <w:rFonts w:hint="eastAsia"/>
        </w:rPr>
      </w:pPr>
      <w:r>
        <w:rPr>
          <w:rFonts w:hint="eastAsia"/>
        </w:rPr>
        <w:t>消防泵房和消防水储存设施应在满足安全距离的前提下靠近主要保护对象布置，并保证事故状态下消防人员能够从安全方向进入和操作。变配电设施宜靠近主要用电负荷中心，但不得布置在可能受到油品泄漏、可燃油气积聚或火灾直接威胁的位置。生产控制和仪表设施应避开爆炸危险区域，并具备对储罐液位、泵组状态、管线压力、可燃气体报警和紧急切断系统进行监控的条件。</w:t>
      </w:r>
    </w:p>
    <w:p w14:paraId="77F314A4">
      <w:pPr>
        <w:bidi w:val="0"/>
        <w:rPr>
          <w:rFonts w:hint="eastAsia" w:ascii="Times New Roman" w:hAnsi="Times New Roman" w:eastAsia="宋体" w:cs="Times New Roman"/>
          <w:sz w:val="18"/>
          <w:szCs w:val="22"/>
          <w:vertAlign w:val="superscript"/>
        </w:rPr>
      </w:pPr>
      <w:r>
        <w:rPr>
          <w:rFonts w:hint="eastAsia"/>
        </w:rPr>
        <w:t>含油污水处理设施宜结合场地竖向布置在便于含油污水汇集的位置，并应避开行政管理区主要人员活动区域。鉴于穗东街道附近沿江低洼地区存在暴雨和高潮位共同作用下的内涝风险，含油污水处理设施不能简单设置在场地绝对最低点，其构筑物顶标高、防倒灌设施和事故状态储存能力应结合设计洪潮水位校核；变配电设施、生产控制设施和消防泵房的关键设备层应采取可靠的防淹措施。消防泵房、消防水设施、变配电设施以及含油污水处理设施的位置应分别服从消防取水、供电负荷和排水条件，不能仅为集中布置而忽略各自的安全及工艺要求。</w:t>
      </w:r>
      <w:r>
        <w:rPr>
          <w:rFonts w:hint="eastAsia" w:ascii="Times New Roman" w:hAnsi="Times New Roman" w:eastAsia="宋体" w:cs="Times New Roman"/>
          <w:sz w:val="18"/>
          <w:szCs w:val="22"/>
          <w:vertAlign w:val="superscript"/>
        </w:rPr>
        <w:t>[20][23]</w:t>
      </w:r>
    </w:p>
    <w:p w14:paraId="1A954A83">
      <w:pPr>
        <w:bidi w:val="0"/>
        <w:rPr>
          <w:rFonts w:hint="eastAsia"/>
        </w:rPr>
      </w:pPr>
      <w:r>
        <w:rPr>
          <w:rFonts w:hint="eastAsia"/>
        </w:rPr>
        <w:t>本设计92号汽油、95号汽油和0号柴油均采用常温储存和输送，不设置油品加热系统，因此辅助生产区不设置锅炉房，避免照搬重油库或原油库设计中的供热设施。</w:t>
      </w:r>
    </w:p>
    <w:p w14:paraId="5E324A83">
      <w:pPr>
        <w:bidi w:val="0"/>
        <w:rPr>
          <w:rFonts w:hint="eastAsia"/>
        </w:rPr>
      </w:pPr>
      <w:r>
        <w:rPr>
          <w:rFonts w:hint="eastAsia"/>
        </w:rPr>
        <w:t>综上，本油库形成以储油区为核心、装卸区靠近库外交通一侧、行政管理区靠近主要人员出入口、辅助生产区根据消防供水、供电负荷和污水排放条件布置的四区格局。各区之间通过消防道路、围墙或受控通道实现空间分隔和运行联系，油品运输流线、汽车罐车流线和办公人员流线相互分离。油库内各建筑物及设施之间的最终防火距离，应以GB 50074—2014表5.1.3及相关章节的计算和校核结果为准。</w:t>
      </w:r>
    </w:p>
    <w:p w14:paraId="5DAB36F4">
      <w:pPr>
        <w:pStyle w:val="9"/>
        <w:bidi w:val="0"/>
        <w:rPr>
          <w:rFonts w:hint="eastAsia"/>
          <w:lang w:val="en-US" w:eastAsia="zh-CN"/>
        </w:rPr>
      </w:pPr>
      <w:r>
        <w:rPr>
          <w:rFonts w:hint="eastAsia"/>
          <w:lang w:val="en-US" w:eastAsia="zh-CN"/>
        </w:rPr>
        <w:t>4.3库区道路规划</w:t>
      </w:r>
    </w:p>
    <w:p w14:paraId="44006D22">
      <w:pPr>
        <w:bidi w:val="0"/>
      </w:pPr>
      <w:r>
        <w:rPr>
          <w:rFonts w:hint="eastAsia"/>
          <w:lang w:val="en-US" w:eastAsia="zh-CN"/>
        </w:rPr>
        <w:t>1.</w:t>
      </w:r>
      <w:r>
        <w:t>储罐区消防道路</w:t>
      </w:r>
    </w:p>
    <w:p w14:paraId="7B3E1F3F">
      <w:pPr>
        <w:bidi w:val="0"/>
      </w:pPr>
      <w:r>
        <w:t>92号汽油、95号汽油和0号柴油罐组外围均设置连续环形消防车道，并与库内消防主干道连通。按照GB 50074—2014第5.2.3条，储罐至少与1条消防车道相邻，储罐中心至少与2条消防车道的距离均不大于120m；条件受限时，储罐中心至最近消防车道的距离不大于80m。本设计按储罐中心至最近消防车道不大于80m控制，并在总平面图中逐罐校核。</w:t>
      </w:r>
    </w:p>
    <w:p w14:paraId="4E73D89A">
      <w:pPr>
        <w:bidi w:val="0"/>
      </w:pPr>
      <w:r>
        <w:t>多个罐组共用同一环形消防车道时，环道内罐组总容量不大于12万m³，相邻罐组防火堤外堤脚线之间设置宽度不小于7.0m的消防空地，符合GB 50074—2014第5.2.2条。储罐区车辆出入口设置不少于2处，且位于不同方位，直接与消防主干道相连，符合该规范第5.2.11条第3款。</w:t>
      </w:r>
    </w:p>
    <w:p w14:paraId="35C51A1A">
      <w:pPr>
        <w:bidi w:val="0"/>
      </w:pPr>
      <w:r>
        <w:t>按照GB 50074—2014第5.2.10条，尽头式消防车道末端设置回车场；两个路口间消防车道长度大于300m时，在中段增设回车场。本项目罐区道路施工图布置时应逐段统计路口间距，超过300m的路段按重型消防车通行条件设置18m×18m回车场。</w:t>
      </w:r>
    </w:p>
    <w:p w14:paraId="11C183C6">
      <w:pPr>
        <w:bidi w:val="0"/>
      </w:pPr>
      <w:r>
        <w:rPr>
          <w:rFonts w:hint="eastAsia"/>
          <w:lang w:val="en-US" w:eastAsia="zh-CN"/>
        </w:rPr>
        <w:t>2.</w:t>
      </w:r>
      <w:r>
        <w:t>装车区、辅助区及出入口道路</w:t>
      </w:r>
    </w:p>
    <w:p w14:paraId="190600CF">
      <w:pPr>
        <w:bidi w:val="0"/>
      </w:pPr>
      <w:r>
        <w:t>公路装车区靠近广深公路布置，设置独立油罐车出入口和单向循环车道。车辆依次通过入口检查区、等候区、装车鹤位、复核区和出口，避免倒车进入鹤位及交叉调头。装车区主干道路面宽度取6.0m；装车鹤位和停车段纵坡不大于1%，并设置驻车制动确认、限位挡车设施和防溜车轮挡。</w:t>
      </w:r>
    </w:p>
    <w:p w14:paraId="4EACFC92">
      <w:pPr>
        <w:bidi w:val="0"/>
      </w:pPr>
      <w:r>
        <w:t>辅助生产区沿消防泵房、变配电间、机修间、化验室及油气回收装置设置3.5～4.0m宽检修道路。生产运输与行政交通分流，行政管理区和公路装车区分别设置直接通往库外道路的车辆出入口。库外连接道路路面宽度不小于储罐区消防车道宽度，本设计取6.0m，并在入口内侧设置车辆核验和排队缓冲段，防止车辆占用广深公路。上述设置符合GB 50074—2014第5.2.5条及第5.2.11条。</w:t>
      </w:r>
    </w:p>
    <w:p w14:paraId="0855CE2E">
      <w:pPr>
        <w:bidi w:val="0"/>
      </w:pPr>
      <w:r>
        <w:rPr>
          <w:rFonts w:hint="eastAsia"/>
          <w:lang w:val="en-US" w:eastAsia="zh-CN"/>
        </w:rPr>
        <w:t>3.</w:t>
      </w:r>
      <w:r>
        <w:t>设计车辆与路面结构</w:t>
      </w:r>
    </w:p>
    <w:p w14:paraId="0DD51E36">
      <w:pPr>
        <w:bidi w:val="0"/>
      </w:pPr>
      <w:r>
        <w:t>道路平面按刚性油罐车和半挂油罐汽车列车两类车辆校核，其中生产运输通道以六轴半挂油罐汽车列车作为控制车型，合法装载状态最大总质量按49t上限校核；车辆外廓尺寸、轴荷和质量限值执行现行《汽车、挂车及汽车列车外廓尺寸、轴荷及质量限值》GB 1589—2016。一般路段内缘转弯半径不小于12m；装车区入口、鹤位前弯道及回车场应根据拟采购车辆的轴距、前后悬和铰接点参数进行扫掠轨迹校核，必要时扩大有效路面，不得仅以名义半径判定通行能力。</w:t>
      </w:r>
    </w:p>
    <w:p w14:paraId="44B16D1B">
      <w:pPr>
        <w:bidi w:val="0"/>
      </w:pPr>
      <w:r>
        <w:t>主干道和装车区采用重载水泥混凝土路面。路面结构计算按现行《公路水泥混凝土路面设计规范》JTG D40—2011执行，以100kN单轴双轮组标准轴载和设计期实际油罐车轴载谱进行疲劳分析，同时校核合法装载状态下控制车辆的最大轴载。面层厚度、基层形式及地基处理参数由交通量、轴载累计作用次数和岩土工程勘察成果确定，不采用“汽-20、挂-100”作为路面结构设计荷载。</w:t>
      </w:r>
    </w:p>
    <w:p w14:paraId="673894E2">
      <w:pPr>
        <w:bidi w:val="0"/>
      </w:pPr>
      <w:r>
        <w:rPr>
          <w:rFonts w:hint="eastAsia"/>
          <w:lang w:val="en-US" w:eastAsia="zh-CN"/>
        </w:rPr>
        <w:t>4.</w:t>
      </w:r>
      <w:r>
        <w:t>两侧地块应急交通与人员疏散</w:t>
      </w:r>
    </w:p>
    <w:p w14:paraId="40AB51C3">
      <w:pPr>
        <w:bidi w:val="0"/>
      </w:pPr>
      <w:r>
        <w:t>广深公路两侧地块分别形成完整的消防环道、对外出入口和消防车辆到达系统，不将广深公路作为库内循环道路。本阶段不设置未经专项论证和主管部门批准的地下通道或架空连络道。两侧消防力量通过广深公路及周边批准的市政道路相互支援，并在应急预案中明确跨区救援入口、备用路线和交通管制节点；条件具备时可预留专用应急连接设施接口。</w:t>
      </w:r>
    </w:p>
    <w:p w14:paraId="655E0DCC">
      <w:pPr>
        <w:bidi w:val="0"/>
      </w:pPr>
      <w:r>
        <w:t>库区设置连续专用人行通道，人员通勤路线与油罐车循环线原则上分离，必要交叉处设置人行横道、警示标志和照明。按照GB 50074—2014第6.5.7条，防火堤每个隔堤区域均设置对外人行台阶或坡道，相邻台阶或坡道间距不大于60m。疏散路线避开装车鹤位和油气易积聚区域，并分别通向上风向安全集合点及独立对外出口。</w:t>
      </w:r>
    </w:p>
    <w:p w14:paraId="247EDEE4">
      <w:pPr>
        <w:bidi w:val="0"/>
      </w:pPr>
      <w:r>
        <w:rPr>
          <w:rFonts w:hint="eastAsia"/>
          <w:lang w:val="en-US" w:eastAsia="zh-CN"/>
        </w:rPr>
        <w:t>5.</w:t>
      </w:r>
      <w:r>
        <w:t>排水、照明及道路管控</w:t>
      </w:r>
    </w:p>
    <w:p w14:paraId="2B5ECE11">
      <w:pPr>
        <w:widowControl/>
        <w:spacing w:line="360" w:lineRule="auto"/>
        <w:ind w:firstLine="480"/>
        <w:jc w:val="both"/>
      </w:pPr>
      <w:r>
        <w:rPr>
          <w:rFonts w:ascii="Times New Roman" w:hAnsi="Times New Roman" w:eastAsia="宋体"/>
          <w:b w:val="0"/>
          <w:sz w:val="24"/>
        </w:rPr>
        <w:t>罐区道路横坡取1.5%～2.0%，径流经边沟和雨水口收集。普通雨水排入库区雨水系统；罐区、泵区和装车区初期雨水及事故水经切换设施进入含油污水系统或事故水收集设施，不得排入广深公路市政雨水管网。排水能力按黄埔区暴雨强度参数复核</w:t>
      </w:r>
      <w:r>
        <w:rPr>
          <w:rFonts w:ascii="Times New Roman" w:hAnsi="Times New Roman" w:eastAsia="宋体"/>
          <w:b w:val="0"/>
          <w:sz w:val="24"/>
          <w:vertAlign w:val="superscript"/>
        </w:rPr>
        <w:t>[25]</w:t>
      </w:r>
      <w:r>
        <w:rPr>
          <w:rFonts w:ascii="Times New Roman" w:hAnsi="Times New Roman" w:eastAsia="宋体"/>
          <w:b w:val="0"/>
          <w:sz w:val="24"/>
        </w:rPr>
        <w:t>。</w:t>
      </w:r>
    </w:p>
    <w:p w14:paraId="2CA98491">
      <w:pPr>
        <w:bidi w:val="0"/>
      </w:pPr>
      <w:r>
        <w:t>道路照明按GB 50582—2010执行：主要道路10lx，次要道路5lx，罐车装卸点作业面100lx。爆炸危险区域灯具按GB 50058—2014选型，灯杆不得侵入消防车道净空。</w:t>
      </w:r>
    </w:p>
    <w:p w14:paraId="364E55BD">
      <w:pPr>
        <w:bidi w:val="0"/>
      </w:pPr>
      <w:r>
        <w:t>消防车道按GB 5768系列设置标线及限速、限高、限宽和导向标志；主要路口和消防通道设置视频监控与占用报警，车道内严禁停车、堆物和设置固定障碍物。</w:t>
      </w:r>
    </w:p>
    <w:p w14:paraId="641FD864">
      <w:pPr>
        <w:pStyle w:val="9"/>
        <w:bidi w:val="0"/>
        <w:rPr>
          <w:rFonts w:hint="eastAsia"/>
          <w:lang w:val="en-US" w:eastAsia="zh-CN"/>
        </w:rPr>
      </w:pPr>
      <w:r>
        <w:rPr>
          <w:rFonts w:hint="eastAsia"/>
          <w:lang w:val="en-US" w:eastAsia="zh-CN"/>
        </w:rPr>
        <w:t>4.4综合管线布置</w:t>
      </w:r>
    </w:p>
    <w:p w14:paraId="1A0D294E">
      <w:pPr>
        <w:bidi w:val="0"/>
      </w:pPr>
      <w:r>
        <w:t>（1）布置原则</w:t>
      </w:r>
    </w:p>
    <w:p w14:paraId="05F66690">
      <w:pPr>
        <w:bidi w:val="0"/>
      </w:pPr>
      <w:r>
        <w:t>本项目综合管线包括油品工艺管线、油气回收管线、消防给水及泡沫管线、生产生活给水管线、雨水及含油污水管线、电力电缆和通信控制线路。本节仅确定各类管线在总平面中的通道、走向及空间关系，不涉及管径、水力计算、管材壁厚和阀门结构。</w:t>
      </w:r>
    </w:p>
    <w:p w14:paraId="58C951E4">
      <w:pPr>
        <w:bidi w:val="0"/>
      </w:pPr>
      <w:r>
        <w:t>管线综合布置依据现行《石油库设计规范》GB 50074—2014第9.1节和《工业企业总平面设计规范》GB 50187—2012第8章进行。各类管线按介质和功能分区集中布置，管线通道与库内道路及建筑控制线平行，干线设置在用户集中一侧，以缩短线路并减少道路交叉。油品工艺管线采用独立管廊，消防、公用工程和电缆线路分别形成独立通道。</w:t>
      </w:r>
    </w:p>
    <w:p w14:paraId="3E577EC8">
      <w:pPr>
        <w:bidi w:val="0"/>
      </w:pPr>
      <w:r>
        <w:t>管线沿道路单侧布置，不占用消防车道、油罐车行驶通道和回车场，并避开建筑基础及消防作业场地。主要管线按近期集中、远近结合的原则布置，在进库边界、储罐区和装车区预留检修空间及远期扩建接口，且不得影响消防通行。</w:t>
      </w:r>
    </w:p>
    <w:p w14:paraId="3DA78829">
      <w:pPr>
        <w:bidi w:val="0"/>
      </w:pPr>
      <w:r>
        <w:t>（2）油品工艺管线平面走向</w:t>
      </w:r>
    </w:p>
    <w:p w14:paraId="5F1F6E00">
      <w:pPr>
        <w:bidi w:val="0"/>
      </w:pPr>
      <w:r>
        <w:t>油品工艺管线沿生产主干道一侧的独立管廊贯通进库接收区、储罐区、泵区和装车区，避开行政管理区及无关设施；不同油品管线分通道布置，防止混接。装车区油气回收管线沿工艺管带接至油气回收装置。</w:t>
      </w:r>
    </w:p>
    <w:p w14:paraId="53CBDF6C">
      <w:pPr>
        <w:bidi w:val="0"/>
      </w:pPr>
      <w:r>
        <w:t>罐区工艺管线按GB 50074—2014第9.1.17条沿道路布置，管带设置在防火堤外侧，不环绕罐组，不妨碍消防人员通行和作业。进出储罐的支管以短捷路线穿越防火堤，穿堤位置与人行台阶、排水出口错开，并按第6.5.6条采用不燃材料严密封堵；隔断操作位置设置在防火堤外可安全接近处。</w:t>
      </w:r>
    </w:p>
    <w:p w14:paraId="76EB80F0">
      <w:pPr>
        <w:bidi w:val="0"/>
      </w:pPr>
      <w:r>
        <w:t>（3）敷设方式</w:t>
      </w:r>
    </w:p>
    <w:p w14:paraId="43BE6CFA">
      <w:pPr>
        <w:bidi w:val="0"/>
      </w:pPr>
      <w:r>
        <w:t>根据GB 50074—2014第9.1.1条，库内工艺及热力管道宜采用地上敷设或敞口管沟敷设。本设计油品主体管线采用架空管廊敷设，甲、乙类油品管线不采用非充沙密闭管沟；消防给水、生产生活给水、雨水、含油污水及事故水管线结合道路和竖向设计采用地下敷设，电力及通信线路采用独立电缆沟或电缆桥架。</w:t>
      </w:r>
    </w:p>
    <w:p w14:paraId="7B677AF9">
      <w:pPr>
        <w:bidi w:val="0"/>
      </w:pPr>
      <w:r>
        <w:t>道路交叉段采用埋地钢套管防护并尽量正交，避免长距离平行敷设。《石油库设计规范》GB 50074—2014第9.1.6条明确规定：架空管道跨越消防车道和其他车行道路时，路面以上净空高度分别不应小于5.0m和4.5m。沿路地上管线距路边不小于1.0m，埋地管线不布置在路面下方。</w:t>
      </w:r>
    </w:p>
    <w:p w14:paraId="4BE59F96">
      <w:pPr>
        <w:bidi w:val="0"/>
      </w:pPr>
      <w:r>
        <w:t>项目用地位于广深公路两侧，两侧地块分别形成完整的内部管线系统。库区不设置跨广深公路的油品工艺管线；后期确需跨路连通时，应单独开展安全论证并完成道路、规划及安全审查。</w:t>
      </w:r>
    </w:p>
    <w:p w14:paraId="1CE78ED4">
      <w:pPr>
        <w:bidi w:val="0"/>
      </w:pPr>
      <w:r>
        <w:t>金属工艺管线按GB 50074—2014第14.3节设置防静电接地，并接入库区接地系统；管线始端、末端、分支及装卸设施连接处按规范布置接地点。架空管廊下方结合场地竖向设置连续防渗导流沟，重点阀组及易泄漏部位设置集液设施，泄漏油品统一导入含油污水或事故水收集系统，防止油品漫流。</w:t>
      </w:r>
    </w:p>
    <w:p w14:paraId="43282485">
      <w:pPr>
        <w:bidi w:val="0"/>
      </w:pPr>
      <w:r>
        <w:t>（4）公用工程管线布置</w:t>
      </w:r>
    </w:p>
    <w:p w14:paraId="760DD2C9">
      <w:pPr>
        <w:bidi w:val="0"/>
      </w:pPr>
      <w:r>
        <w:t>本项目为二级石油库，消防给水系统与生产生活给水系统分开设置。按照GB 50074—2014第12.2.5条，地上储罐区消防给水干管沿消防车道外侧环状布置，并由两条进水管接入；支管通向储罐冷却、消火栓和泡沫消防设施。消防管线不得穿越建筑基础，不得占用消防作业空间。</w:t>
      </w:r>
    </w:p>
    <w:p w14:paraId="0B5C6C5F">
      <w:pPr>
        <w:bidi w:val="0"/>
      </w:pPr>
      <w:r>
        <w:t>雨水、生活污水、含油污水和事故水管线分系统布置。结合黄埔地区降雨量大的特点，雨水干管沿道路低侧设置；罐区、泵区和装车区的初期雨水及事故水接至含油污水或事故水收集设施，不与清洁雨水管线混接。地下排水干线服从场地竖向排水方向，并与道路边沟、雨水口及事故水收集设施统一协调。</w:t>
      </w:r>
    </w:p>
    <w:p w14:paraId="73B63C05">
      <w:pPr>
        <w:bidi w:val="0"/>
      </w:pPr>
      <w:r>
        <w:t>（5）管线空间协调</w:t>
      </w:r>
    </w:p>
    <w:p w14:paraId="31297EE8">
      <w:pPr>
        <w:bidi w:val="0"/>
      </w:pPr>
      <w:r>
        <w:t>地上工艺管廊按GB 50074—2014第9.1.4条和第9.1.17条集中避开消防泵房、变配电间、控制室、行政办公建筑及无关生产设施，不穿越建筑基础和消防作业场地；本设计优先将管廊布置在上述人员集中建筑15m范围以外。管架立柱设置在道路及消防作业范围之外，管廊下方保留连续巡检和检修空间。</w:t>
      </w:r>
    </w:p>
    <w:p w14:paraId="1FF6641F">
      <w:pPr>
        <w:bidi w:val="0"/>
      </w:pPr>
      <w:r>
        <w:t>油品管线、电缆和热力管线在综合通道内分层、分侧布置。电缆采用独立桥架或电缆沟，与油品管线保持《电力工程电缆设计标准》GB 50217—2018规定的净距；电缆不布置在热力管道上方，封闭电缆沟内不得穿越易燃油品管线，热力管道不得与甲、乙、丙A类油品管道敷设在同一管沟内。管廊立柱和管线本体避开库区照明点位，不遮挡主干道及装卸栈台防爆灯具，保证夜间巡检和装卸作业照度满足前述设计要求。</w:t>
      </w:r>
    </w:p>
    <w:p w14:paraId="4A6BCAEF">
      <w:pPr>
        <w:bidi w:val="0"/>
        <w:rPr>
          <w:rFonts w:hint="eastAsia" w:eastAsia="宋体"/>
          <w:lang w:val="en-US" w:eastAsia="zh-CN"/>
        </w:rPr>
        <w:sectPr>
          <w:footerReference r:id="rId6" w:type="first"/>
          <w:footerReference r:id="rId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r>
        <w:t>综上，本油库总平面采用“油品架空管廊沿路布置、消防干管环状环绕罐组、给排水及电缆地下独立敷设”的综合管线布局。管线走向短捷有序，消防通道保持完整，各介质管线安全隔离，并预留远期扩建接口，满足石油库总图安全布置要</w:t>
      </w:r>
      <w:r>
        <w:rPr>
          <w:rFonts w:hint="eastAsia"/>
          <w:lang w:val="en-US" w:eastAsia="zh-CN"/>
        </w:rPr>
        <w:t>求。</w:t>
      </w:r>
    </w:p>
    <w:p w14:paraId="7C4FF0C4">
      <w:pPr>
        <w:ind w:left="0" w:leftChars="0" w:firstLine="0" w:firstLineChars="0"/>
      </w:pPr>
    </w:p>
    <w:sectPr>
      <w:footnotePr>
        <w:numFmt w:val="decimalEnclosedCircleChines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2"/>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02FD157D">
      <w:pPr>
        <w:spacing w:before="0" w:after="0" w:line="360" w:lineRule="auto"/>
        <w:ind w:firstLine="0"/>
        <w:jc w:val="both"/>
        <w:rPr>
          <w:rFonts w:hint="eastAsia" w:eastAsia="宋体"/>
          <w:lang w:val="en-US" w:eastAsia="zh-CN"/>
        </w:rPr>
      </w:pPr>
      <w:r>
        <w:rPr>
          <w:rStyle w:val="7"/>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11279"/>
    <w:rsid w:val="17CE4F1B"/>
    <w:rsid w:val="1995691B"/>
    <w:rsid w:val="1C027D36"/>
    <w:rsid w:val="216058A9"/>
    <w:rsid w:val="42BA1E8A"/>
    <w:rsid w:val="68D93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footnote text"/>
    <w:basedOn w:val="1"/>
    <w:qFormat/>
    <w:uiPriority w:val="0"/>
    <w:pPr>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otnote reference"/>
    <w:basedOn w:val="6"/>
    <w:qFormat/>
    <w:uiPriority w:val="0"/>
    <w:rPr>
      <w:vertAlign w:val="superscript"/>
    </w:rPr>
  </w:style>
  <w:style w:type="paragraph" w:customStyle="1" w:styleId="8">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9">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10">
    <w:name w:val="图/表注"/>
    <w:basedOn w:val="1"/>
    <w:qFormat/>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8865</Words>
  <Characters>10150</Characters>
  <Lines>0</Lines>
  <Paragraphs>0</Paragraphs>
  <TotalTime>0</TotalTime>
  <ScaleCrop>false</ScaleCrop>
  <LinksUpToDate>false</LinksUpToDate>
  <CharactersWithSpaces>10211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2026-07-20T01:38:00Z</dcterms:created>
  <dc:creator>29366</dc:creator>
  <cp:lastModifiedBy>WPS_1745382907</cp:lastModifiedBy>
  <dcterms:modified xsi:type="dcterms:W3CDTF">2026-07-20T08:24:42Z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65B2B53EAAB54A28AE6A47E3A7CEC643_13</vt:lpwstr>
  </property>
</Properties>
</file>