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eastAsia="黑体"/>
          <w:b/>
          <w:sz w:val="36"/>
        </w:rPr>
        <w:t>5.1 储油罐计算及选型</w:t>
        <w:br/>
        <w:t>全套修正优化对照稿</w:t>
      </w:r>
    </w:p>
    <w:p>
      <w:pPr>
        <w:spacing w:after="360"/>
        <w:jc w:val="center"/>
      </w:pPr>
      <w:r>
        <w:rPr>
          <w:rFonts w:ascii="Times New Roman" w:hAnsi="Times New Roman" w:eastAsia="宋体"/>
          <w:b w:val="0"/>
          <w:sz w:val="22"/>
        </w:rPr>
        <w:t>依据 GB 50341—2014、GB 50074—2014、GB 50009—2012 校核</w:t>
      </w:r>
    </w:p>
    <w:p>
      <w:pPr>
        <w:spacing w:line="360" w:lineRule="auto" w:before="0" w:after="0"/>
        <w:ind w:firstLine="420"/>
        <w:jc w:val="both"/>
      </w:pPr>
      <w:r>
        <w:rPr>
          <w:rFonts w:ascii="Times New Roman" w:hAnsi="Times New Roman" w:eastAsia="宋体"/>
          <w:b w:val="0"/>
          <w:sz w:val="21"/>
        </w:rPr>
        <w:t>本稿以《5.1储油罐计算及选型—现行规范校核版》为校核对象，保留原章节技术路线，仅修正规范适用、计算参数、数值结果和缺失的方案设计说明。国家标准在正文中列明标准号和条款，不作参考文献脚注；用户提供的计划表、毕业设计指导书及计算资料采用上角标标注</w:t>
      </w:r>
      <w:r>
        <w:rPr>
          <w:rFonts w:ascii="Times New Roman" w:hAnsi="Times New Roman" w:eastAsia="宋体"/>
          <w:b w:val="0"/>
          <w:sz w:val="16"/>
          <w:vertAlign w:val="superscript"/>
        </w:rPr>
        <w:t>[1]</w:t>
      </w:r>
      <w:r>
        <w:rPr>
          <w:rFonts w:ascii="Times New Roman" w:hAnsi="Times New Roman" w:eastAsia="宋体"/>
          <w:b w:val="0"/>
          <w:sz w:val="16"/>
          <w:vertAlign w:val="superscript"/>
        </w:rPr>
        <w:t>[2]</w:t>
      </w:r>
      <w:r>
        <w:rPr>
          <w:rFonts w:ascii="Times New Roman" w:hAnsi="Times New Roman" w:eastAsia="宋体"/>
          <w:b w:val="0"/>
          <w:sz w:val="16"/>
          <w:vertAlign w:val="superscript"/>
        </w:rPr>
        <w:t>[3]</w:t>
      </w:r>
      <w:r>
        <w:rPr>
          <w:rFonts w:ascii="Times New Roman" w:hAnsi="Times New Roman" w:eastAsia="宋体"/>
          <w:b w:val="0"/>
          <w:sz w:val="16"/>
          <w:vertAlign w:val="superscript"/>
        </w:rPr>
        <w:t>[4]</w:t>
      </w:r>
      <w:r>
        <w:t>。</w:t>
      </w:r>
    </w:p>
    <w:p>
      <w:pPr>
        <w:keepNext/>
        <w:spacing w:before="160" w:after="80"/>
        <w:jc w:val="left"/>
      </w:pPr>
      <w:r>
        <w:rPr>
          <w:rFonts w:ascii="Times New Roman" w:hAnsi="Times New Roman" w:eastAsia="黑体"/>
          <w:b/>
          <w:sz w:val="30"/>
        </w:rPr>
        <w:t>一、规范参数修正内容（含修改前后对比）</w:t>
      </w:r>
    </w:p>
    <w:p>
      <w:pPr>
        <w:keepNext/>
        <w:spacing w:before="100" w:after="60"/>
      </w:pPr>
      <w:r>
        <w:rPr>
          <w:rFonts w:ascii="Times New Roman" w:hAnsi="Times New Roman" w:eastAsia="黑体"/>
          <w:b/>
          <w:sz w:val="22"/>
        </w:rPr>
        <w:t>1. 内浮顶罐设计外压与真空负压适用范围</w:t>
      </w:r>
    </w:p>
    <w:p>
      <w:pPr>
        <w:spacing w:line="360" w:lineRule="auto" w:after="60"/>
        <w:ind w:left="198" w:right="113"/>
        <w:jc w:val="both"/>
        <w:shd w:fill="F2F2F2"/>
      </w:pPr>
      <w:r>
        <w:rPr>
          <w:rFonts w:ascii="Times New Roman" w:hAnsi="Times New Roman" w:eastAsia="黑体"/>
          <w:b/>
          <w:color w:val="1F4E79"/>
          <w:sz w:val="21"/>
        </w:rPr>
        <w:t>原文错误片段：</w:t>
      </w:r>
      <w:r>
        <w:rPr>
          <w:rFonts w:ascii="Times New Roman" w:hAnsi="Times New Roman" w:eastAsia="宋体"/>
          <w:b w:val="0"/>
          <w:sz w:val="21"/>
        </w:rPr>
        <w:t>“设计真空负压均取0.25 kPa”；汽油内浮顶罐抗风稳定计算中将风压与0.25 kPa真空负压叠加。</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GB 50341—2014第3.0.1条规定，固定顶油罐按规定的设计压力和设计负压进行设计，浮顶油罐的设计压力为常压。本设计汽油罐为固定顶内设内浮顶，其固定顶结构仍按0.25 kPa设计负压进行荷载组合；但在罐壁抗风稳定计算中，内浮顶罐不再将0.25 kPa真空负压与风压重复叠加。0号柴油固定拱顶罐按0.25 kPa设计负压校核。由此，3万m³汽油内浮顶罐、3万m³柴油固定顶罐和1万m³汽油内浮顶罐的罐壁设计外压分别为1.339 kPa、1.589 kPa和1.294 kPa。</w:t>
      </w:r>
    </w:p>
    <w:p>
      <w:pPr>
        <w:tabs>
          <w:tab w:pos="4394" w:val="center"/>
          <w:tab w:pos="8787" w:val="right"/>
        </w:tabs>
        <w:spacing w:before="60" w:after="60"/>
        <w:jc w:val="left"/>
      </w:pPr>
      <w:r>
        <w:rPr>
          <w:rFonts w:ascii="Times New Roman" w:hAnsi="Times New Roman" w:eastAsia="宋体"/>
          <w:b w:val="0"/>
          <w:sz w:val="21"/>
        </w:rPr>
        <w:tab/>
      </w:r>
      <m:oMath>
        <m:r>
          <m:rPr>
            <m:nor/>
          </m:rPr>
          <m:t>P₀,30G = 2.25 μz w₀ = 2.25×1.19×0.50 = 1.339 kPa</m:t>
        </m:r>
      </m:oMath>
      <w:r>
        <w:rPr>
          <w:rFonts w:ascii="Times New Roman" w:hAnsi="Times New Roman" w:eastAsia="宋体"/>
          <w:b w:val="0"/>
          <w:sz w:val="21"/>
        </w:rPr>
        <w:tab/>
        <w:t>（修-1）</w:t>
      </w:r>
    </w:p>
    <w:p>
      <w:pPr>
        <w:tabs>
          <w:tab w:pos="4394" w:val="center"/>
          <w:tab w:pos="8787" w:val="right"/>
        </w:tabs>
        <w:spacing w:before="60" w:after="60"/>
        <w:jc w:val="left"/>
      </w:pPr>
      <w:r>
        <w:rPr>
          <w:rFonts w:ascii="Times New Roman" w:hAnsi="Times New Roman" w:eastAsia="宋体"/>
          <w:b w:val="0"/>
          <w:sz w:val="21"/>
        </w:rPr>
        <w:tab/>
      </w:r>
      <m:oMath>
        <m:r>
          <m:rPr>
            <m:nor/>
          </m:rPr>
          <m:t>P₀,30D = 2.25 μz w₀ + q = 1.339+0.25 = 1.589 kPa</m:t>
        </m:r>
      </m:oMath>
      <w:r>
        <w:rPr>
          <w:rFonts w:ascii="Times New Roman" w:hAnsi="Times New Roman" w:eastAsia="宋体"/>
          <w:b w:val="0"/>
          <w:sz w:val="21"/>
        </w:rPr>
        <w:tab/>
        <w:t>（修-2）</w:t>
      </w:r>
    </w:p>
    <w:p>
      <w:pPr>
        <w:tabs>
          <w:tab w:pos="4394" w:val="center"/>
          <w:tab w:pos="8787" w:val="right"/>
        </w:tabs>
        <w:spacing w:before="60" w:after="60"/>
        <w:jc w:val="left"/>
      </w:pPr>
      <w:r>
        <w:rPr>
          <w:rFonts w:ascii="Times New Roman" w:hAnsi="Times New Roman" w:eastAsia="宋体"/>
          <w:b w:val="0"/>
          <w:sz w:val="21"/>
        </w:rPr>
        <w:tab/>
      </w:r>
      <m:oMath>
        <m:r>
          <m:rPr>
            <m:nor/>
          </m:rPr>
          <m:t>P₀,10G = 2.25×1.15×0.50 = 1.294 kPa</m:t>
        </m:r>
      </m:oMath>
      <w:r>
        <w:rPr>
          <w:rFonts w:ascii="Times New Roman" w:hAnsi="Times New Roman" w:eastAsia="宋体"/>
          <w:b w:val="0"/>
          <w:sz w:val="21"/>
        </w:rPr>
        <w:tab/>
        <w:t>（修-3）</w:t>
      </w:r>
    </w:p>
    <w:p>
      <w:pPr>
        <w:keepNext/>
        <w:spacing w:before="100" w:after="60"/>
      </w:pPr>
      <w:r>
        <w:rPr>
          <w:rFonts w:ascii="Times New Roman" w:hAnsi="Times New Roman" w:eastAsia="黑体"/>
          <w:b/>
          <w:sz w:val="22"/>
        </w:rPr>
        <w:t>2. 罐壁有效厚度与当量高度判定</w:t>
      </w:r>
    </w:p>
    <w:p>
      <w:pPr>
        <w:spacing w:line="360" w:lineRule="auto" w:after="60"/>
        <w:ind w:left="198" w:right="113"/>
        <w:jc w:val="both"/>
        <w:shd w:fill="F2F2F2"/>
      </w:pPr>
      <w:r>
        <w:rPr>
          <w:rFonts w:ascii="Times New Roman" w:hAnsi="Times New Roman" w:eastAsia="黑体"/>
          <w:b/>
          <w:color w:val="1F4E79"/>
          <w:sz w:val="21"/>
        </w:rPr>
        <w:t>原文易歧义片段：</w:t>
      </w:r>
      <w:r>
        <w:rPr>
          <w:rFonts w:ascii="Times New Roman" w:hAnsi="Times New Roman" w:eastAsia="宋体"/>
          <w:b w:val="0"/>
          <w:sz w:val="21"/>
        </w:rPr>
        <w:t>“以核算区间最薄圈有效厚度tmin折算当量高度”，未先说明有效厚度和最薄圈的确定方法。</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按GB 50341—2014术语及第6.4节，罐壁有效厚度取名义厚度扣除厚度附加量后的厚度，即ti=tn−C1−C2。本设计钢板负偏差C1=0.30 mm、腐蚀裕量C2=1.00 mm，故C=1.30 mm。tmin应在参与抗风稳定计算的全部圈板中取最小有效厚度，而不是直接取最薄名义厚度。3万m³罐最上三圈名义厚度均为8 mm，tmin=6.70 mm；1万m³罐最上四圈名义厚度均为6 mm，tmin=4.70 mm。按各圈厚度折算后，当量高度分别为8.620 m和9.938 m。</w:t>
      </w:r>
    </w:p>
    <w:p>
      <w:pPr>
        <w:tabs>
          <w:tab w:pos="4394" w:val="center"/>
          <w:tab w:pos="8787" w:val="right"/>
        </w:tabs>
        <w:spacing w:before="60" w:after="60"/>
        <w:jc w:val="left"/>
      </w:pPr>
      <w:r>
        <w:rPr>
          <w:rFonts w:ascii="Times New Roman" w:hAnsi="Times New Roman" w:eastAsia="宋体"/>
          <w:b w:val="0"/>
          <w:sz w:val="21"/>
        </w:rPr>
        <w:tab/>
      </w:r>
      <m:oMath>
        <m:r>
          <m:rPr>
            <m:nor/>
          </m:rPr>
          <m:t>Hᴇ = Σ hᵢ(tmin/tᵢ)²·⁵</m:t>
        </m:r>
      </m:oMath>
      <w:r>
        <w:rPr>
          <w:rFonts w:ascii="Times New Roman" w:hAnsi="Times New Roman" w:eastAsia="宋体"/>
          <w:b w:val="0"/>
          <w:sz w:val="21"/>
        </w:rPr>
        <w:tab/>
        <w:t>（修-4）</w:t>
      </w:r>
    </w:p>
    <w:p>
      <w:pPr>
        <w:keepNext/>
        <w:spacing w:before="100" w:after="60"/>
      </w:pPr>
      <w:r>
        <w:rPr>
          <w:rFonts w:ascii="Times New Roman" w:hAnsi="Times New Roman" w:eastAsia="黑体"/>
          <w:b/>
          <w:sz w:val="22"/>
        </w:rPr>
        <w:t>3. 抗风临界压力与抗风圈数量</w:t>
      </w:r>
    </w:p>
    <w:p>
      <w:pPr>
        <w:spacing w:line="360" w:lineRule="auto" w:after="60"/>
        <w:ind w:left="198" w:right="113"/>
        <w:jc w:val="both"/>
        <w:shd w:fill="F2F2F2"/>
      </w:pPr>
      <w:r>
        <w:rPr>
          <w:rFonts w:ascii="Times New Roman" w:hAnsi="Times New Roman" w:eastAsia="黑体"/>
          <w:b/>
          <w:color w:val="1F4E79"/>
          <w:sz w:val="21"/>
        </w:rPr>
        <w:t>原文错误片段：</w:t>
      </w:r>
      <w:r>
        <w:rPr>
          <w:rFonts w:ascii="Times New Roman" w:hAnsi="Times New Roman" w:eastAsia="宋体"/>
          <w:b w:val="0"/>
          <w:sz w:val="21"/>
        </w:rPr>
        <w:t>3万m³汽油罐虽计算需1道中间抗风圈，随后又以“统一构造”为由改设2道，导致计算结论和总表不一致。</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采用上述有效厚度与当量高度，3万m³罐和1万m³罐的临界抗风压力分别为0.712 kPa和0.522 kPa。按GB 50341—2014第6.4节判定：3万m³汽油罐设置1道中间抗风圈；3万m³柴油罐设置2道中间抗风圈；1万m³汽油罐设置2道中间抗风圈。方案阶段不再以构造统一替代规范计算结果；若设备制造标准化确需增加抗风圈，应作为安全储备另行说明，不得改变计算所需数量。</w:t>
      </w:r>
    </w:p>
    <w:tbl>
      <w:tblPr>
        <w:tblStyle w:val="TableGrid"/>
        <w:tblW w:type="auto" w:w="0"/>
        <w:jc w:val="center"/>
        <w:tblLayout w:type="fixed"/>
        <w:tblLook w:firstColumn="1" w:firstRow="1" w:lastColumn="0" w:lastRow="0" w:noHBand="0" w:noVBand="1" w:val="04A0"/>
      </w:tblPr>
      <w:tblGrid>
        <w:gridCol w:w="1484"/>
        <w:gridCol w:w="1484"/>
        <w:gridCol w:w="1484"/>
        <w:gridCol w:w="1484"/>
        <w:gridCol w:w="1484"/>
        <w:gridCol w:w="1484"/>
      </w:tblGrid>
      <w:tr>
        <w:trPr>
          <w:tblHeader w:val="true"/>
          <w:cantSplit/>
        </w:trPr>
        <w:tc>
          <w:tcPr>
            <w:tcW w:type="dxa" w:w="2268"/>
            <w:vAlign w:val="center"/>
            <w:shd w:fill="D9E2F3"/>
            <w:tcMar>
              <w:top w:w="80" w:type="dxa"/>
              <w:start w:w="100" w:type="dxa"/>
              <w:bottom w:w="80" w:type="dxa"/>
              <w:end w:w="100" w:type="dxa"/>
            </w:tcMar>
          </w:tcPr>
          <w:p>
            <w:pPr>
              <w:jc w:val="center"/>
            </w:pPr>
            <w:r>
              <w:rPr>
                <w:rFonts w:ascii="Times New Roman" w:hAnsi="Times New Roman" w:eastAsia="黑体"/>
                <w:b/>
                <w:sz w:val="18"/>
              </w:rPr>
              <w:t>储罐</w:t>
            </w:r>
          </w:p>
        </w:tc>
        <w:tc>
          <w:tcPr>
            <w:tcW w:type="dxa" w:w="1134"/>
            <w:vAlign w:val="center"/>
            <w:shd w:fill="D9E2F3"/>
            <w:tcMar>
              <w:top w:w="80" w:type="dxa"/>
              <w:start w:w="100" w:type="dxa"/>
              <w:bottom w:w="80" w:type="dxa"/>
              <w:end w:w="100" w:type="dxa"/>
            </w:tcMar>
          </w:tcPr>
          <w:p>
            <w:pPr>
              <w:jc w:val="center"/>
            </w:pPr>
            <w:r>
              <w:rPr>
                <w:rFonts w:ascii="Times New Roman" w:hAnsi="Times New Roman" w:eastAsia="黑体"/>
                <w:b/>
                <w:sz w:val="18"/>
              </w:rPr>
              <w:t>P₀/kPa</w:t>
            </w:r>
          </w:p>
        </w:tc>
        <w:tc>
          <w:tcPr>
            <w:tcW w:type="dxa" w:w="1077"/>
            <w:vAlign w:val="center"/>
            <w:shd w:fill="D9E2F3"/>
            <w:tcMar>
              <w:top w:w="80" w:type="dxa"/>
              <w:start w:w="100" w:type="dxa"/>
              <w:bottom w:w="80" w:type="dxa"/>
              <w:end w:w="100" w:type="dxa"/>
            </w:tcMar>
          </w:tcPr>
          <w:p>
            <w:pPr>
              <w:jc w:val="center"/>
            </w:pPr>
            <w:r>
              <w:rPr>
                <w:rFonts w:ascii="Times New Roman" w:hAnsi="Times New Roman" w:eastAsia="黑体"/>
                <w:b/>
                <w:sz w:val="18"/>
              </w:rPr>
              <w:t>Hᴇ/m</w:t>
            </w:r>
          </w:p>
        </w:tc>
        <w:tc>
          <w:tcPr>
            <w:tcW w:type="dxa" w:w="1247"/>
            <w:vAlign w:val="center"/>
            <w:shd w:fill="D9E2F3"/>
            <w:tcMar>
              <w:top w:w="80" w:type="dxa"/>
              <w:start w:w="100" w:type="dxa"/>
              <w:bottom w:w="80" w:type="dxa"/>
              <w:end w:w="100" w:type="dxa"/>
            </w:tcMar>
          </w:tcPr>
          <w:p>
            <w:pPr>
              <w:jc w:val="center"/>
            </w:pPr>
            <w:r>
              <w:rPr>
                <w:rFonts w:ascii="Times New Roman" w:hAnsi="Times New Roman" w:eastAsia="黑体"/>
                <w:b/>
                <w:sz w:val="18"/>
              </w:rPr>
              <w:t>[Pcr]/kPa</w:t>
            </w:r>
          </w:p>
        </w:tc>
        <w:tc>
          <w:tcPr>
            <w:tcW w:type="dxa" w:w="2098"/>
            <w:vAlign w:val="center"/>
            <w:shd w:fill="D9E2F3"/>
            <w:tcMar>
              <w:top w:w="80" w:type="dxa"/>
              <w:start w:w="100" w:type="dxa"/>
              <w:bottom w:w="80" w:type="dxa"/>
              <w:end w:w="100" w:type="dxa"/>
            </w:tcMar>
          </w:tcPr>
          <w:p>
            <w:pPr>
              <w:jc w:val="center"/>
            </w:pPr>
            <w:r>
              <w:rPr>
                <w:rFonts w:ascii="Times New Roman" w:hAnsi="Times New Roman" w:eastAsia="黑体"/>
                <w:b/>
                <w:sz w:val="18"/>
              </w:rPr>
              <w:t>判定</w:t>
            </w:r>
          </w:p>
        </w:tc>
        <w:tc>
          <w:tcPr>
            <w:tcW w:type="dxa" w:w="1361"/>
            <w:vAlign w:val="center"/>
            <w:shd w:fill="D9E2F3"/>
            <w:tcMar>
              <w:top w:w="80" w:type="dxa"/>
              <w:start w:w="100" w:type="dxa"/>
              <w:bottom w:w="80" w:type="dxa"/>
              <w:end w:w="100" w:type="dxa"/>
            </w:tcMar>
          </w:tcPr>
          <w:p>
            <w:pPr>
              <w:jc w:val="center"/>
            </w:pPr>
            <w:r>
              <w:rPr>
                <w:rFonts w:ascii="Times New Roman" w:hAnsi="Times New Roman" w:eastAsia="黑体"/>
                <w:b/>
                <w:sz w:val="18"/>
              </w:rPr>
              <w:t>中间抗风圈/道</w:t>
            </w:r>
          </w:p>
        </w:tc>
      </w:tr>
      <w:tr>
        <w:trPr>
          <w:cantSplit/>
        </w:trPr>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8"/>
              </w:rPr>
              <w:t>3万m³汽油内浮顶罐</w:t>
            </w:r>
          </w:p>
        </w:tc>
        <w:tc>
          <w:tcPr>
            <w:tcW w:type="dxa" w:w="1134"/>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1.339</w:t>
            </w:r>
          </w:p>
        </w:tc>
        <w:tc>
          <w:tcPr>
            <w:tcW w:type="dxa" w:w="1077"/>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8.620</w:t>
            </w:r>
          </w:p>
        </w:tc>
        <w:tc>
          <w:tcPr>
            <w:tcW w:type="dxa" w:w="1247"/>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0.712</w:t>
            </w:r>
          </w:p>
        </w:tc>
        <w:tc>
          <w:tcPr>
            <w:tcW w:type="dxa" w:w="209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P₀＞[Pcr]≥P₀/2</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1</w:t>
            </w:r>
          </w:p>
        </w:tc>
      </w:tr>
      <w:tr>
        <w:trPr>
          <w:cantSplit/>
        </w:trPr>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8"/>
              </w:rPr>
              <w:t>3万m³柴油固定顶罐</w:t>
            </w:r>
          </w:p>
        </w:tc>
        <w:tc>
          <w:tcPr>
            <w:tcW w:type="dxa" w:w="1134"/>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1.589</w:t>
            </w:r>
          </w:p>
        </w:tc>
        <w:tc>
          <w:tcPr>
            <w:tcW w:type="dxa" w:w="1077"/>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8.620</w:t>
            </w:r>
          </w:p>
        </w:tc>
        <w:tc>
          <w:tcPr>
            <w:tcW w:type="dxa" w:w="1247"/>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0.712</w:t>
            </w:r>
          </w:p>
        </w:tc>
        <w:tc>
          <w:tcPr>
            <w:tcW w:type="dxa" w:w="209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P₀/2＞[Pcr]≥P₀/3</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2</w:t>
            </w:r>
          </w:p>
        </w:tc>
      </w:tr>
      <w:tr>
        <w:trPr>
          <w:cantSplit/>
        </w:trPr>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8"/>
              </w:rPr>
              <w:t>1万m³汽油内浮顶罐</w:t>
            </w:r>
          </w:p>
        </w:tc>
        <w:tc>
          <w:tcPr>
            <w:tcW w:type="dxa" w:w="1134"/>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1.294</w:t>
            </w:r>
          </w:p>
        </w:tc>
        <w:tc>
          <w:tcPr>
            <w:tcW w:type="dxa" w:w="1077"/>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9.938</w:t>
            </w:r>
          </w:p>
        </w:tc>
        <w:tc>
          <w:tcPr>
            <w:tcW w:type="dxa" w:w="1247"/>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0.522</w:t>
            </w:r>
          </w:p>
        </w:tc>
        <w:tc>
          <w:tcPr>
            <w:tcW w:type="dxa" w:w="209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P₀/2＞[Pcr]≥P₀/3</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2</w:t>
            </w:r>
          </w:p>
        </w:tc>
      </w:tr>
    </w:tbl>
    <w:p>
      <w:pPr>
        <w:spacing w:before="40" w:after="80"/>
      </w:pPr>
      <w:r>
        <w:rPr>
          <w:rFonts w:ascii="Times New Roman" w:hAnsi="Times New Roman" w:eastAsia="宋体"/>
          <w:b w:val="0"/>
          <w:sz w:val="17"/>
        </w:rPr>
        <w:t>注：P₀为罐壁设计外压；[Pcr]为罐壁许用临界压力。</w:t>
      </w:r>
    </w:p>
    <w:p>
      <w:pPr>
        <w:keepNext/>
        <w:spacing w:before="100" w:after="60"/>
      </w:pPr>
      <w:r>
        <w:rPr>
          <w:rFonts w:ascii="Times New Roman" w:hAnsi="Times New Roman" w:eastAsia="黑体"/>
          <w:b/>
          <w:sz w:val="22"/>
        </w:rPr>
        <w:t>4. Q345R 40 ℃许用应力插值及厚度组别迭代</w:t>
      </w:r>
    </w:p>
    <w:p>
      <w:pPr>
        <w:spacing w:line="360" w:lineRule="auto" w:after="60"/>
        <w:ind w:left="198" w:right="113"/>
        <w:jc w:val="both"/>
        <w:shd w:fill="F2F2F2"/>
      </w:pPr>
      <w:r>
        <w:rPr>
          <w:rFonts w:ascii="Times New Roman" w:hAnsi="Times New Roman" w:eastAsia="黑体"/>
          <w:b/>
          <w:color w:val="1F4E79"/>
          <w:sz w:val="21"/>
        </w:rPr>
        <w:t>原文易歧义片段：</w:t>
      </w:r>
      <w:r>
        <w:rPr>
          <w:rFonts w:ascii="Times New Roman" w:hAnsi="Times New Roman" w:eastAsia="宋体"/>
          <w:b w:val="0"/>
          <w:sz w:val="21"/>
        </w:rPr>
        <w:t>表头仅列“[σ]t”，未明确该值为充水试验许用应力；底圈试算与厚度分组之间缺少迭代闭合说明。</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依据GB 50341—2014表4.2.2，Q345R在20 ℃与100 ℃之间按线性插值确定40 ℃设计许用应力。公称厚度3～16 mm时，[σ]40=222.5 MPa，充水试验许用应力[σ]test=230 MPa；公称厚度大于16～36 mm时，[σ]40=209.75 MPa，取209.8 MPa，[σ]test=217 MPa。底圈先按3～16 mm组试算，充水工况所得要求厚度超过16 mm，说明试算组别不成立；改用大于16～36 mm组复算后，3万m³罐底圈要求厚度为21.93 mm，最终选22 mm，材料组别与选定厚度一致。</w:t>
      </w:r>
    </w:p>
    <w:p>
      <w:pPr>
        <w:tabs>
          <w:tab w:pos="4394" w:val="center"/>
          <w:tab w:pos="8787" w:val="right"/>
        </w:tabs>
        <w:spacing w:before="60" w:after="60"/>
        <w:jc w:val="left"/>
      </w:pPr>
      <w:r>
        <w:rPr>
          <w:rFonts w:ascii="Times New Roman" w:hAnsi="Times New Roman" w:eastAsia="宋体"/>
          <w:b w:val="0"/>
          <w:sz w:val="21"/>
        </w:rPr>
        <w:tab/>
      </w:r>
      <m:oMath>
        <m:r>
          <m:rPr>
            <m:nor/>
          </m:rPr>
          <m:t>[σ]₄₀ = [σ]₂₀ − (40−20)/80 × ([σ]₂₀−[σ]₁₀₀)</m:t>
        </m:r>
      </m:oMath>
      <w:r>
        <w:rPr>
          <w:rFonts w:ascii="Times New Roman" w:hAnsi="Times New Roman" w:eastAsia="宋体"/>
          <w:b w:val="0"/>
          <w:sz w:val="21"/>
        </w:rPr>
        <w:tab/>
        <w:t>（修-5）</w:t>
      </w:r>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cantSplit/>
        </w:trPr>
        <w:tc>
          <w:tcPr>
            <w:tcW w:type="dxa" w:w="1871"/>
            <w:vAlign w:val="center"/>
            <w:shd w:fill="D9E2F3"/>
            <w:tcMar>
              <w:top w:w="80" w:type="dxa"/>
              <w:start w:w="100" w:type="dxa"/>
              <w:bottom w:w="80" w:type="dxa"/>
              <w:end w:w="100" w:type="dxa"/>
            </w:tcMar>
          </w:tcPr>
          <w:p>
            <w:pPr>
              <w:jc w:val="center"/>
            </w:pPr>
            <w:r>
              <w:rPr>
                <w:rFonts w:ascii="Times New Roman" w:hAnsi="Times New Roman" w:eastAsia="黑体"/>
                <w:b/>
                <w:sz w:val="18"/>
              </w:rPr>
              <w:t>Q345R名义厚度/mm</w:t>
            </w:r>
          </w:p>
        </w:tc>
        <w:tc>
          <w:tcPr>
            <w:tcW w:type="dxa" w:w="1474"/>
            <w:vAlign w:val="center"/>
            <w:shd w:fill="D9E2F3"/>
            <w:tcMar>
              <w:top w:w="80" w:type="dxa"/>
              <w:start w:w="100" w:type="dxa"/>
              <w:bottom w:w="80" w:type="dxa"/>
              <w:end w:w="100" w:type="dxa"/>
            </w:tcMar>
          </w:tcPr>
          <w:p>
            <w:pPr>
              <w:jc w:val="center"/>
            </w:pPr>
            <w:r>
              <w:rPr>
                <w:rFonts w:ascii="Times New Roman" w:hAnsi="Times New Roman" w:eastAsia="黑体"/>
                <w:b/>
                <w:sz w:val="18"/>
              </w:rPr>
              <w:t>[σ]20/MPa</w:t>
            </w:r>
          </w:p>
        </w:tc>
        <w:tc>
          <w:tcPr>
            <w:tcW w:type="dxa" w:w="1474"/>
            <w:vAlign w:val="center"/>
            <w:shd w:fill="D9E2F3"/>
            <w:tcMar>
              <w:top w:w="80" w:type="dxa"/>
              <w:start w:w="100" w:type="dxa"/>
              <w:bottom w:w="80" w:type="dxa"/>
              <w:end w:w="100" w:type="dxa"/>
            </w:tcMar>
          </w:tcPr>
          <w:p>
            <w:pPr>
              <w:jc w:val="center"/>
            </w:pPr>
            <w:r>
              <w:rPr>
                <w:rFonts w:ascii="Times New Roman" w:hAnsi="Times New Roman" w:eastAsia="黑体"/>
                <w:b/>
                <w:sz w:val="18"/>
              </w:rPr>
              <w:t>[σ]100/MPa</w:t>
            </w:r>
          </w:p>
        </w:tc>
        <w:tc>
          <w:tcPr>
            <w:tcW w:type="dxa" w:w="2098"/>
            <w:vAlign w:val="center"/>
            <w:shd w:fill="D9E2F3"/>
            <w:tcMar>
              <w:top w:w="80" w:type="dxa"/>
              <w:start w:w="100" w:type="dxa"/>
              <w:bottom w:w="80" w:type="dxa"/>
              <w:end w:w="100" w:type="dxa"/>
            </w:tcMar>
          </w:tcPr>
          <w:p>
            <w:pPr>
              <w:jc w:val="center"/>
            </w:pPr>
            <w:r>
              <w:rPr>
                <w:rFonts w:ascii="Times New Roman" w:hAnsi="Times New Roman" w:eastAsia="黑体"/>
                <w:b/>
                <w:sz w:val="18"/>
              </w:rPr>
              <w:t>[σ]40设计/MPa</w:t>
            </w:r>
          </w:p>
        </w:tc>
        <w:tc>
          <w:tcPr>
            <w:tcW w:type="dxa" w:w="2154"/>
            <w:vAlign w:val="center"/>
            <w:shd w:fill="D9E2F3"/>
            <w:tcMar>
              <w:top w:w="80" w:type="dxa"/>
              <w:start w:w="100" w:type="dxa"/>
              <w:bottom w:w="80" w:type="dxa"/>
              <w:end w:w="100" w:type="dxa"/>
            </w:tcMar>
          </w:tcPr>
          <w:p>
            <w:pPr>
              <w:jc w:val="center"/>
            </w:pPr>
            <w:r>
              <w:rPr>
                <w:rFonts w:ascii="Times New Roman" w:hAnsi="Times New Roman" w:eastAsia="黑体"/>
                <w:b/>
                <w:sz w:val="18"/>
              </w:rPr>
              <w:t>[σ]test充水/MPa</w:t>
            </w:r>
          </w:p>
        </w:tc>
      </w:tr>
      <w:tr>
        <w:trPr>
          <w:cantSplit/>
        </w:trPr>
        <w:tc>
          <w:tcPr>
            <w:tcW w:type="dxa" w:w="1871"/>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8"/>
              </w:rPr>
              <w:t>3～16</w:t>
            </w:r>
          </w:p>
        </w:tc>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230</w:t>
            </w:r>
          </w:p>
        </w:tc>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200</w:t>
            </w:r>
          </w:p>
        </w:tc>
        <w:tc>
          <w:tcPr>
            <w:tcW w:type="dxa" w:w="209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222.5</w:t>
            </w:r>
          </w:p>
        </w:tc>
        <w:tc>
          <w:tcPr>
            <w:tcW w:type="dxa" w:w="2154"/>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230</w:t>
            </w:r>
          </w:p>
        </w:tc>
      </w:tr>
      <w:tr>
        <w:trPr>
          <w:cantSplit/>
        </w:trPr>
        <w:tc>
          <w:tcPr>
            <w:tcW w:type="dxa" w:w="1871"/>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8"/>
              </w:rPr>
              <w:t>&gt;16～36</w:t>
            </w:r>
          </w:p>
        </w:tc>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217</w:t>
            </w:r>
          </w:p>
        </w:tc>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188</w:t>
            </w:r>
          </w:p>
        </w:tc>
        <w:tc>
          <w:tcPr>
            <w:tcW w:type="dxa" w:w="209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209.8</w:t>
            </w:r>
          </w:p>
        </w:tc>
        <w:tc>
          <w:tcPr>
            <w:tcW w:type="dxa" w:w="2154"/>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217</w:t>
            </w:r>
          </w:p>
        </w:tc>
      </w:tr>
    </w:tbl>
    <w:p>
      <w:pPr>
        <w:spacing w:before="40" w:after="80"/>
      </w:pPr>
      <w:r>
        <w:rPr>
          <w:rFonts w:ascii="Times New Roman" w:hAnsi="Times New Roman" w:eastAsia="宋体"/>
          <w:b w:val="0"/>
          <w:sz w:val="17"/>
        </w:rPr>
        <w:t>注：表头将设计工况与充水试验工况分列，避免“[σ]t”含义不明。</w:t>
      </w:r>
    </w:p>
    <w:p>
      <w:pPr>
        <w:keepNext/>
        <w:spacing w:before="100" w:after="60"/>
      </w:pPr>
      <w:r>
        <w:rPr>
          <w:rFonts w:ascii="Times New Roman" w:hAnsi="Times New Roman" w:eastAsia="黑体"/>
          <w:b/>
          <w:sz w:val="22"/>
        </w:rPr>
        <w:t>5. 罐底环形边缘板厚度完整验算</w:t>
      </w:r>
    </w:p>
    <w:p>
      <w:pPr>
        <w:spacing w:line="360" w:lineRule="auto" w:after="60"/>
        <w:ind w:left="198" w:right="113"/>
        <w:jc w:val="both"/>
        <w:shd w:fill="F2F2F2"/>
      </w:pPr>
      <w:r>
        <w:rPr>
          <w:rFonts w:ascii="Times New Roman" w:hAnsi="Times New Roman" w:eastAsia="黑体"/>
          <w:b/>
          <w:color w:val="1F4E79"/>
          <w:sz w:val="21"/>
        </w:rPr>
        <w:t>原文不完整片段：</w:t>
      </w:r>
      <w:r>
        <w:rPr>
          <w:rFonts w:ascii="Times New Roman" w:hAnsi="Times New Roman" w:eastAsia="宋体"/>
          <w:b w:val="0"/>
          <w:sz w:val="21"/>
        </w:rPr>
        <w:t>仅依据底圈壁板厚度直接给出边缘板名义厚度12 mm和10 mm，未展示表列厚度、腐蚀裕量与订货偏差的校核关系。</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依据GB 50341—2014第5.1.2条及表5.1.2，Q345R标准屈服强度下限不大于390 MPa。3万m³罐底圈壁板名义厚度22 mm，对应环形边缘板不含腐蚀裕量的最小厚度11 mm；计入C2=1.00 mm后，名义厚度取12 mm。1万m³罐底圈壁板名义厚度12 mm，对应最小厚度9 mm；计入C2后，名义厚度取10 mm。钢板按GB/T 709—2019的B类偏差订货，并在材料验收时保证实测厚度扣除腐蚀裕量后不小于表列值；若供货负偏差不能满足该条件，应分别提高至14 mm和12 mm。</w:t>
      </w:r>
    </w:p>
    <w:p>
      <w:pPr>
        <w:tabs>
          <w:tab w:pos="4394" w:val="center"/>
          <w:tab w:pos="8787" w:val="right"/>
        </w:tabs>
        <w:spacing w:before="60" w:after="60"/>
        <w:jc w:val="left"/>
      </w:pPr>
      <w:r>
        <w:rPr>
          <w:rFonts w:ascii="Times New Roman" w:hAnsi="Times New Roman" w:eastAsia="宋体"/>
          <w:b w:val="0"/>
          <w:sz w:val="21"/>
        </w:rPr>
        <w:tab/>
      </w:r>
      <m:oMath>
        <m:r>
          <m:rPr>
            <m:nor/>
          </m:rPr>
          <m:t>tₐ,30 = 11+1.00 = 12.00 mm；tₐ,10 = 9+1.00 = 10.00 mm</m:t>
        </m:r>
      </m:oMath>
      <w:r>
        <w:rPr>
          <w:rFonts w:ascii="Times New Roman" w:hAnsi="Times New Roman" w:eastAsia="宋体"/>
          <w:b w:val="0"/>
          <w:sz w:val="21"/>
        </w:rPr>
        <w:tab/>
        <w:t>（修-6）</w:t>
      </w:r>
    </w:p>
    <w:p>
      <w:pPr>
        <w:keepNext/>
        <w:spacing w:before="160" w:after="80"/>
        <w:jc w:val="left"/>
      </w:pPr>
      <w:r>
        <w:rPr>
          <w:rFonts w:ascii="Times New Roman" w:hAnsi="Times New Roman" w:eastAsia="黑体"/>
          <w:b/>
          <w:sz w:val="30"/>
        </w:rPr>
        <w:t>二、计算过程补全与数值更新</w:t>
      </w:r>
    </w:p>
    <w:p>
      <w:pPr>
        <w:keepNext/>
        <w:spacing w:before="100" w:after="60"/>
      </w:pPr>
      <w:r>
        <w:rPr>
          <w:rFonts w:ascii="Times New Roman" w:hAnsi="Times New Roman" w:eastAsia="黑体"/>
          <w:b/>
          <w:sz w:val="22"/>
        </w:rPr>
        <w:t>1. 3万m³和1万m³拱顶矢高完整计算</w:t>
      </w:r>
    </w:p>
    <w:p>
      <w:pPr>
        <w:spacing w:line="360" w:lineRule="auto" w:after="60"/>
        <w:ind w:left="198" w:right="113"/>
        <w:jc w:val="both"/>
        <w:shd w:fill="F2F2F2"/>
      </w:pPr>
      <w:r>
        <w:rPr>
          <w:rFonts w:ascii="Times New Roman" w:hAnsi="Times New Roman" w:eastAsia="黑体"/>
          <w:b/>
          <w:color w:val="1F4E79"/>
          <w:sz w:val="21"/>
        </w:rPr>
        <w:t>原文缺失片段：</w:t>
      </w:r>
      <w:r>
        <w:rPr>
          <w:rFonts w:ascii="Times New Roman" w:hAnsi="Times New Roman" w:eastAsia="宋体"/>
          <w:b w:val="0"/>
          <w:sz w:val="21"/>
        </w:rPr>
        <w:t>仅给出拱顶矢高结果，未列出平方、相减和开方步骤。</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球面拱顶曲率半径方案阶段取Rc=0.8D，拱顶矢高按球冠几何关系计算。3万m³罐D=46.0 m，Rc=36.8 m；1万m³罐D=28.5 m，Rc=22.8 m。完整代入如下：</w:t>
      </w:r>
    </w:p>
    <w:p>
      <w:pPr>
        <w:tabs>
          <w:tab w:pos="4394" w:val="center"/>
          <w:tab w:pos="8787" w:val="right"/>
        </w:tabs>
        <w:spacing w:before="60" w:after="60"/>
        <w:jc w:val="left"/>
      </w:pPr>
      <w:r>
        <w:rPr>
          <w:rFonts w:ascii="Times New Roman" w:hAnsi="Times New Roman" w:eastAsia="宋体"/>
          <w:b w:val="0"/>
          <w:sz w:val="21"/>
        </w:rPr>
        <w:tab/>
      </w:r>
      <m:oMath>
        <m:r>
          <m:rPr>
            <m:nor/>
          </m:rPr>
          <m:t>f₃₀ = 36.8−√(36.8²−23.0²) = 36.8−√(1354.24−529.00) = 36.8−√825.24 = 8.073 m</m:t>
        </m:r>
      </m:oMath>
      <w:r>
        <w:rPr>
          <w:rFonts w:ascii="Times New Roman" w:hAnsi="Times New Roman" w:eastAsia="宋体"/>
          <w:b w:val="0"/>
          <w:sz w:val="21"/>
        </w:rPr>
        <w:tab/>
        <w:t>（修-7）</w:t>
      </w:r>
    </w:p>
    <w:p>
      <w:pPr>
        <w:tabs>
          <w:tab w:pos="4394" w:val="center"/>
          <w:tab w:pos="8787" w:val="right"/>
        </w:tabs>
        <w:spacing w:before="60" w:after="60"/>
        <w:jc w:val="left"/>
      </w:pPr>
      <w:r>
        <w:rPr>
          <w:rFonts w:ascii="Times New Roman" w:hAnsi="Times New Roman" w:eastAsia="宋体"/>
          <w:b w:val="0"/>
          <w:sz w:val="21"/>
        </w:rPr>
        <w:tab/>
      </w:r>
      <m:oMath>
        <m:r>
          <m:rPr>
            <m:nor/>
          </m:rPr>
          <m:t>f₁₀ = 22.8−√(22.8²−14.25²) = 22.8−√(519.84−203.0625) = 22.8−√316.7775 = 5.002 m</m:t>
        </m:r>
      </m:oMath>
      <w:r>
        <w:rPr>
          <w:rFonts w:ascii="Times New Roman" w:hAnsi="Times New Roman" w:eastAsia="宋体"/>
          <w:b w:val="0"/>
          <w:sz w:val="21"/>
        </w:rPr>
        <w:tab/>
        <w:t>（修-8）</w:t>
      </w:r>
    </w:p>
    <w:p>
      <w:pPr>
        <w:keepNext/>
        <w:spacing w:before="100" w:after="60"/>
      </w:pPr>
      <w:r>
        <w:rPr>
          <w:rFonts w:ascii="Times New Roman" w:hAnsi="Times New Roman" w:eastAsia="黑体"/>
          <w:b/>
          <w:sz w:val="22"/>
        </w:rPr>
        <w:t>2. 罐壁最小名义厚度校核</w:t>
      </w:r>
    </w:p>
    <w:p>
      <w:pPr>
        <w:spacing w:line="360" w:lineRule="auto" w:after="60"/>
        <w:ind w:left="198" w:right="113"/>
        <w:jc w:val="both"/>
        <w:shd w:fill="F2F2F2"/>
      </w:pPr>
      <w:r>
        <w:rPr>
          <w:rFonts w:ascii="Times New Roman" w:hAnsi="Times New Roman" w:eastAsia="黑体"/>
          <w:b/>
          <w:color w:val="1F4E79"/>
          <w:sz w:val="21"/>
        </w:rPr>
        <w:t>原文片段：</w:t>
      </w:r>
      <w:r>
        <w:rPr>
          <w:rFonts w:ascii="Times New Roman" w:hAnsi="Times New Roman" w:eastAsia="宋体"/>
          <w:b w:val="0"/>
          <w:sz w:val="21"/>
        </w:rPr>
        <w:t>计算表中上部圈板直接取8 mm或6 mm，规范最小厚度说明分散在表后。</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各圈先比较设计工况厚度、充水试验工况厚度与GB 50341—2014表6.3.4规定的最小名义厚度，再向上圆整取名义厚度。36 m＜D≤60 m时最小名义厚度为8 mm，故3万m³罐第7～9圈由8 mm控制；15 m＜D≤36 m时最小名义厚度为6 mm，故1万m³罐第5～8圈由6 mm控制。规范最小厚度属于名义厚度下限，不得再以计算值较小为由减薄。</w:t>
      </w:r>
    </w:p>
    <w:p>
      <w:pPr>
        <w:keepNext/>
        <w:spacing w:before="100" w:after="60"/>
      </w:pPr>
      <w:r>
        <w:rPr>
          <w:rFonts w:ascii="Times New Roman" w:hAnsi="Times New Roman" w:eastAsia="黑体"/>
          <w:b/>
          <w:sz w:val="22"/>
        </w:rPr>
        <w:t>3. tmin判定及当量高度逐圈更新</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3万m³罐各圈有效厚度依次为20.7、18.7、14.7、12.7、10.7、8.7、6.7、6.7、6.7 mm，tmin=6.7 mm；折算高度之和为8.620 m。1万m³罐各圈有效厚度依次为10.7、8.7、8.7、6.7、4.7、4.7、4.7、4.7 mm，tmin=4.7 mm；折算高度之和为9.938 m。</w:t>
      </w:r>
    </w:p>
    <w:tbl>
      <w:tblPr>
        <w:tblStyle w:val="TableGrid"/>
        <w:tblW w:type="auto" w:w="0"/>
        <w:jc w:val="center"/>
        <w:tblLayout w:type="fixed"/>
        <w:tblLook w:firstColumn="1" w:firstRow="1" w:lastColumn="0" w:lastRow="0" w:noHBand="0" w:noVBand="1" w:val="04A0"/>
      </w:tblPr>
      <w:tblGrid>
        <w:gridCol w:w="2225"/>
        <w:gridCol w:w="2225"/>
        <w:gridCol w:w="2225"/>
        <w:gridCol w:w="2225"/>
      </w:tblGrid>
      <w:tr>
        <w:trPr>
          <w:tblHeader w:val="true"/>
          <w:cantSplit/>
        </w:trPr>
        <w:tc>
          <w:tcPr>
            <w:tcW w:type="dxa" w:w="1701"/>
            <w:vAlign w:val="center"/>
            <w:shd w:fill="D9E2F3"/>
            <w:tcMar>
              <w:top w:w="80" w:type="dxa"/>
              <w:start w:w="100" w:type="dxa"/>
              <w:bottom w:w="80" w:type="dxa"/>
              <w:end w:w="100" w:type="dxa"/>
            </w:tcMar>
          </w:tcPr>
          <w:p>
            <w:pPr>
              <w:jc w:val="center"/>
            </w:pPr>
            <w:r>
              <w:rPr>
                <w:rFonts w:ascii="Times New Roman" w:hAnsi="Times New Roman" w:eastAsia="黑体"/>
                <w:b/>
                <w:sz w:val="18"/>
              </w:rPr>
              <w:t>储罐</w:t>
            </w:r>
          </w:p>
        </w:tc>
        <w:tc>
          <w:tcPr>
            <w:tcW w:type="dxa" w:w="4535"/>
            <w:vAlign w:val="center"/>
            <w:shd w:fill="D9E2F3"/>
            <w:tcMar>
              <w:top w:w="80" w:type="dxa"/>
              <w:start w:w="100" w:type="dxa"/>
              <w:bottom w:w="80" w:type="dxa"/>
              <w:end w:w="100" w:type="dxa"/>
            </w:tcMar>
          </w:tcPr>
          <w:p>
            <w:pPr>
              <w:jc w:val="center"/>
            </w:pPr>
            <w:r>
              <w:rPr>
                <w:rFonts w:ascii="Times New Roman" w:hAnsi="Times New Roman" w:eastAsia="黑体"/>
                <w:b/>
                <w:sz w:val="18"/>
              </w:rPr>
              <w:t>圈板名义厚度tn/mm（自下而上）</w:t>
            </w:r>
          </w:p>
        </w:tc>
        <w:tc>
          <w:tcPr>
            <w:tcW w:type="dxa" w:w="1361"/>
            <w:vAlign w:val="center"/>
            <w:shd w:fill="D9E2F3"/>
            <w:tcMar>
              <w:top w:w="80" w:type="dxa"/>
              <w:start w:w="100" w:type="dxa"/>
              <w:bottom w:w="80" w:type="dxa"/>
              <w:end w:w="100" w:type="dxa"/>
            </w:tcMar>
          </w:tcPr>
          <w:p>
            <w:pPr>
              <w:jc w:val="center"/>
            </w:pPr>
            <w:r>
              <w:rPr>
                <w:rFonts w:ascii="Times New Roman" w:hAnsi="Times New Roman" w:eastAsia="黑体"/>
                <w:b/>
                <w:sz w:val="18"/>
              </w:rPr>
              <w:t>tmin/mm</w:t>
            </w:r>
          </w:p>
        </w:tc>
        <w:tc>
          <w:tcPr>
            <w:tcW w:type="dxa" w:w="1361"/>
            <w:vAlign w:val="center"/>
            <w:shd w:fill="D9E2F3"/>
            <w:tcMar>
              <w:top w:w="80" w:type="dxa"/>
              <w:start w:w="100" w:type="dxa"/>
              <w:bottom w:w="80" w:type="dxa"/>
              <w:end w:w="100" w:type="dxa"/>
            </w:tcMar>
          </w:tcPr>
          <w:p>
            <w:pPr>
              <w:jc w:val="center"/>
            </w:pPr>
            <w:r>
              <w:rPr>
                <w:rFonts w:ascii="Times New Roman" w:hAnsi="Times New Roman" w:eastAsia="黑体"/>
                <w:b/>
                <w:sz w:val="18"/>
              </w:rPr>
              <w:t>Hᴇ/m</w:t>
            </w:r>
          </w:p>
        </w:tc>
      </w:tr>
      <w:tr>
        <w:trPr>
          <w:cantSplit/>
        </w:trPr>
        <w:tc>
          <w:tcPr>
            <w:tcW w:type="dxa" w:w="1701"/>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8"/>
              </w:rPr>
              <w:t>3万m³罐</w:t>
            </w:r>
          </w:p>
        </w:tc>
        <w:tc>
          <w:tcPr>
            <w:tcW w:type="dxa" w:w="4535"/>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22/20/16/14/12/10/8/8/8</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6.7</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8.620</w:t>
            </w:r>
          </w:p>
        </w:tc>
      </w:tr>
      <w:tr>
        <w:trPr>
          <w:cantSplit/>
        </w:trPr>
        <w:tc>
          <w:tcPr>
            <w:tcW w:type="dxa" w:w="1701"/>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8"/>
              </w:rPr>
              <w:t>1万m³罐</w:t>
            </w:r>
          </w:p>
        </w:tc>
        <w:tc>
          <w:tcPr>
            <w:tcW w:type="dxa" w:w="4535"/>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12/10/10/8/6/6/6/6</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4.7</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9.938</w:t>
            </w:r>
          </w:p>
        </w:tc>
      </w:tr>
    </w:tbl>
    <w:p>
      <w:pPr>
        <w:keepNext/>
        <w:spacing w:before="100" w:after="60"/>
      </w:pPr>
      <w:r>
        <w:rPr>
          <w:rFonts w:ascii="Times New Roman" w:hAnsi="Times New Roman" w:eastAsia="黑体"/>
          <w:b/>
          <w:sz w:val="22"/>
        </w:rPr>
        <w:t>4. 抗风圈实际标高更新</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中间抗风圈在当量筒体上均匀分隔。设置1道时距罐顶的当量距离取Hᴇ/2；设置2道时分别取Hᴇ/3和2Hᴇ/3。因计算位置均落在tmin对应的上部等厚圈段，无需再作厚度比换算。由罐底起算的设计标高为：3万m³汽油罐+13.690 m；3万m³柴油罐+15.127 m、+12.253 m；1万m³汽油罐+12.687 m、+9.375 m。施工图阶段可在满足等效分隔条件下微调，以避让焊缝和接管。</w:t>
      </w:r>
    </w:p>
    <w:p>
      <w:pPr>
        <w:keepNext/>
        <w:spacing w:before="100" w:after="60"/>
      </w:pPr>
      <w:r>
        <w:rPr>
          <w:rFonts w:ascii="Times New Roman" w:hAnsi="Times New Roman" w:eastAsia="黑体"/>
          <w:b/>
          <w:sz w:val="22"/>
        </w:rPr>
        <w:t>5. 平均液柱压力与充水最大液柱压力区分</w:t>
      </w:r>
    </w:p>
    <w:p>
      <w:pPr>
        <w:spacing w:line="360" w:lineRule="auto" w:after="60"/>
        <w:ind w:left="198" w:right="113"/>
        <w:jc w:val="both"/>
        <w:shd w:fill="F2F2F2"/>
      </w:pPr>
      <w:r>
        <w:rPr>
          <w:rFonts w:ascii="Times New Roman" w:hAnsi="Times New Roman" w:eastAsia="黑体"/>
          <w:b/>
          <w:color w:val="1F4E79"/>
          <w:sz w:val="21"/>
        </w:rPr>
        <w:t>原文易混淆片段：</w:t>
      </w:r>
      <w:r>
        <w:rPr>
          <w:rFonts w:ascii="Times New Roman" w:hAnsi="Times New Roman" w:eastAsia="宋体"/>
          <w:b w:val="0"/>
          <w:sz w:val="21"/>
        </w:rPr>
        <w:t>将液柱平均压力与基础控制压力连续列示，未明确用途差异。</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油品运行工况的平均液柱压力用于正常使用状态下的地基平均压力初核；充水试验工况采用水的密度和满罐液位，用于基础与地基的控制验算。二者均须叠加罐体、罐顶、内浮顶、附件、环墙及覆土等自重，不能以单独液柱压力代替最终基底压力。3万m³罐充水最大液柱压力取ρw gH=176.58 kPa，1万m³罐取156.96 kPa。</w:t>
      </w:r>
    </w:p>
    <w:p>
      <w:pPr>
        <w:tabs>
          <w:tab w:pos="4394" w:val="center"/>
          <w:tab w:pos="8787" w:val="right"/>
        </w:tabs>
        <w:spacing w:before="60" w:after="60"/>
        <w:jc w:val="left"/>
      </w:pPr>
      <w:r>
        <w:rPr>
          <w:rFonts w:ascii="Times New Roman" w:hAnsi="Times New Roman" w:eastAsia="宋体"/>
          <w:b w:val="0"/>
          <w:sz w:val="21"/>
        </w:rPr>
        <w:tab/>
      </w:r>
      <m:oMath>
        <m:r>
          <m:rPr>
            <m:nor/>
          </m:rPr>
          <m:t>pwater,30 = 1000×9.81×18.0/1000 = 176.58 kPa</m:t>
        </m:r>
      </m:oMath>
      <w:r>
        <w:rPr>
          <w:rFonts w:ascii="Times New Roman" w:hAnsi="Times New Roman" w:eastAsia="宋体"/>
          <w:b w:val="0"/>
          <w:sz w:val="21"/>
        </w:rPr>
        <w:tab/>
        <w:t>（修-9）</w:t>
      </w:r>
    </w:p>
    <w:p>
      <w:pPr>
        <w:tabs>
          <w:tab w:pos="4394" w:val="center"/>
          <w:tab w:pos="8787" w:val="right"/>
        </w:tabs>
        <w:spacing w:before="60" w:after="60"/>
        <w:jc w:val="left"/>
      </w:pPr>
      <w:r>
        <w:rPr>
          <w:rFonts w:ascii="Times New Roman" w:hAnsi="Times New Roman" w:eastAsia="宋体"/>
          <w:b w:val="0"/>
          <w:sz w:val="21"/>
        </w:rPr>
        <w:tab/>
      </w:r>
      <m:oMath>
        <m:r>
          <m:rPr>
            <m:nor/>
          </m:rPr>
          <m:t>pwater,10 = 1000×9.81×16.0/1000 = 156.96 kPa</m:t>
        </m:r>
      </m:oMath>
      <w:r>
        <w:rPr>
          <w:rFonts w:ascii="Times New Roman" w:hAnsi="Times New Roman" w:eastAsia="宋体"/>
          <w:b w:val="0"/>
          <w:sz w:val="21"/>
        </w:rPr>
        <w:tab/>
        <w:t>（修-10）</w:t>
      </w:r>
    </w:p>
    <w:p>
      <w:pPr>
        <w:keepNext/>
        <w:spacing w:before="160" w:after="80"/>
        <w:jc w:val="left"/>
      </w:pPr>
      <w:r>
        <w:rPr>
          <w:rFonts w:ascii="Times New Roman" w:hAnsi="Times New Roman" w:eastAsia="黑体"/>
          <w:b/>
          <w:sz w:val="30"/>
        </w:rPr>
        <w:t>三、工艺安全章节文字修改</w:t>
      </w:r>
    </w:p>
    <w:p>
      <w:pPr>
        <w:keepNext/>
        <w:spacing w:before="100" w:after="60"/>
      </w:pPr>
      <w:r>
        <w:rPr>
          <w:rFonts w:ascii="Times New Roman" w:hAnsi="Times New Roman" w:eastAsia="黑体"/>
          <w:b/>
          <w:sz w:val="22"/>
        </w:rPr>
        <w:t>1. 石油库分级容量计算表述</w:t>
      </w:r>
    </w:p>
    <w:p>
      <w:pPr>
        <w:spacing w:line="360" w:lineRule="auto" w:after="60"/>
        <w:ind w:left="198" w:right="113"/>
        <w:jc w:val="both"/>
        <w:shd w:fill="F2F2F2"/>
      </w:pPr>
      <w:r>
        <w:rPr>
          <w:rFonts w:ascii="Times New Roman" w:hAnsi="Times New Roman" w:eastAsia="黑体"/>
          <w:b/>
          <w:color w:val="1F4E79"/>
          <w:sz w:val="21"/>
        </w:rPr>
        <w:t>原文易歧义片段：</w:t>
      </w:r>
      <w:r>
        <w:rPr>
          <w:rFonts w:ascii="Times New Roman" w:hAnsi="Times New Roman" w:eastAsia="宋体"/>
          <w:b w:val="0"/>
          <w:sz w:val="21"/>
        </w:rPr>
        <w:t>“甲B类汽油容量按实际容量计入，丙A类柴油容量乘0.5”，未先拆分各油品实际罐容。</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本设计92号汽油设置2座3万m³内浮顶罐，95号汽油设置1座3万m³和1座1万m³内浮顶罐，汽油实际公称容量合计100000 m³；0号柴油设置2座3万m³固定顶罐，实际公称容量合计60000 m³。依据GB 50074—2014第3.0.1条，甲B类液体储罐容量按实际容量计入，丙A类液体储罐容量乘0.5计入分级计算容量，因此石油库分级计算总容量为100000+60000×0.5=130000 m³。该数值仅用于石油库等级判定，不等同于全库公称总容量160000 m³。</w:t>
      </w:r>
    </w:p>
    <w:p>
      <w:pPr>
        <w:keepNext/>
        <w:spacing w:before="100" w:after="60"/>
      </w:pPr>
      <w:r>
        <w:rPr>
          <w:rFonts w:ascii="Times New Roman" w:hAnsi="Times New Roman" w:eastAsia="黑体"/>
          <w:b/>
          <w:sz w:val="22"/>
        </w:rPr>
        <w:t>2. 汽油内浮顶罐油气控制与液位联锁</w:t>
      </w:r>
    </w:p>
    <w:p>
      <w:pPr>
        <w:spacing w:line="360" w:lineRule="auto" w:after="60"/>
        <w:ind w:left="198" w:right="113"/>
        <w:jc w:val="both"/>
        <w:shd w:fill="F2F2F2"/>
      </w:pPr>
      <w:r>
        <w:rPr>
          <w:rFonts w:ascii="Times New Roman" w:hAnsi="Times New Roman" w:eastAsia="黑体"/>
          <w:b/>
          <w:color w:val="1F4E79"/>
          <w:sz w:val="21"/>
        </w:rPr>
        <w:t>原文不完整片段：</w:t>
      </w:r>
      <w:r>
        <w:rPr>
          <w:rFonts w:ascii="Times New Roman" w:hAnsi="Times New Roman" w:eastAsia="宋体"/>
          <w:b w:val="0"/>
          <w:sz w:val="21"/>
        </w:rPr>
        <w:t>仅写“汽油罐固定顶通气及油气控制同时满足GB 20950—2020”，未说明密封和液位联锁的具体配置。</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92号、95号汽油采用内浮顶罐，内浮顶周边密封、开孔密封、支柱套管和自动通气装置按GB 20950—2020第4.2.2条控制无组织排放；收油过程实行密闭输送。储罐连续液位计、高液位报警和高高液位联锁按GB 50074—2014第15.1.2条、第15.1.4条配置。单罐3万m³汽油罐设置独立高高液位检测并联锁关闭进油阀；1万m³汽油罐及柴油罐方案阶段同样设置独立高高液位保护，作为本项目防溢流强化措施。两套液位信号应相互独立，控制系统保留报警、联锁动作与旁路管理记录。</w:t>
      </w:r>
    </w:p>
    <w:p>
      <w:pPr>
        <w:keepNext/>
        <w:spacing w:before="100" w:after="60"/>
      </w:pPr>
      <w:r>
        <w:rPr>
          <w:rFonts w:ascii="Times New Roman" w:hAnsi="Times New Roman" w:eastAsia="黑体"/>
          <w:b/>
          <w:sz w:val="22"/>
        </w:rPr>
        <w:t>3. 通气装置方案阶段临时选型假设</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通气装置能力应由最大进油呼出量、最大出油吸入量、热呼吸量及事故工况确定。因现阶段仅有年周转量，缺少单线最大瞬时流量、阀门关闭时间及气相连通条件，故本节不以年平均流量确定呼吸阀口径。方案阶段暂按每座固定顶罐设置阻火呼吸阀和事故通气装置、汽油内浮顶罐设置固定顶通气孔及油气控制接口预留；最终数量和通径在收发油水力计算完成后按GB 50341—2014附录A复核。</w:t>
      </w:r>
    </w:p>
    <w:p>
      <w:pPr>
        <w:keepNext/>
        <w:spacing w:before="160" w:after="80"/>
        <w:jc w:val="left"/>
      </w:pPr>
      <w:r>
        <w:rPr>
          <w:rFonts w:ascii="Times New Roman" w:hAnsi="Times New Roman" w:eastAsia="黑体"/>
          <w:b/>
          <w:sz w:val="30"/>
        </w:rPr>
        <w:t>四、结构构造补充完善</w:t>
      </w:r>
    </w:p>
    <w:p>
      <w:pPr>
        <w:keepNext/>
        <w:spacing w:before="100" w:after="60"/>
      </w:pPr>
      <w:r>
        <w:rPr>
          <w:rFonts w:ascii="Times New Roman" w:hAnsi="Times New Roman" w:eastAsia="黑体"/>
          <w:b/>
          <w:sz w:val="22"/>
        </w:rPr>
        <w:t>1. 抗风圈与焊缝、接管的量化避让</w:t>
      </w:r>
    </w:p>
    <w:p>
      <w:pPr>
        <w:spacing w:line="360" w:lineRule="auto" w:after="60"/>
        <w:ind w:left="198" w:right="113"/>
        <w:jc w:val="both"/>
        <w:shd w:fill="F2F2F2"/>
      </w:pPr>
      <w:r>
        <w:rPr>
          <w:rFonts w:ascii="Times New Roman" w:hAnsi="Times New Roman" w:eastAsia="黑体"/>
          <w:b/>
          <w:color w:val="1F4E79"/>
          <w:sz w:val="21"/>
        </w:rPr>
        <w:t>原文片段：</w:t>
      </w:r>
      <w:r>
        <w:rPr>
          <w:rFonts w:ascii="Times New Roman" w:hAnsi="Times New Roman" w:eastAsia="宋体"/>
          <w:b w:val="0"/>
          <w:sz w:val="21"/>
        </w:rPr>
        <w:t>“抗风圈位置与罐壁环焊缝的净距不小于150 mm”，未完整区分罐壁纵向焊缝和环向焊缝。</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抗风圈自身对接接头与罐壁纵向焊缝的水平净距不小于150 mm，抗风圈与罐壁连接焊缝同罐壁环向焊缝的竖向净距不小于150 mm。抗风圈还应避开人孔、接管补强板、盘梯支座、泡沫发生器和冷却水构件；不能满足净距时，应在保持等效抗风分隔高度的前提下调整标高，并对局部截面连续性进行复核。</w:t>
      </w:r>
    </w:p>
    <w:p>
      <w:pPr>
        <w:keepNext/>
        <w:spacing w:before="100" w:after="60"/>
      </w:pPr>
      <w:r>
        <w:rPr>
          <w:rFonts w:ascii="Times New Roman" w:hAnsi="Times New Roman" w:eastAsia="黑体"/>
          <w:b/>
          <w:sz w:val="22"/>
        </w:rPr>
        <w:t>2. 广州7度抗震方案阶段预判</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本项目方案阶段按抗震设防烈度7度、设计基本地震加速度0.10g进行预判。储罐直径较大且汽油罐设置内浮顶，应在施工图阶段依据GB 50341—2014附录D计算液面晃动波高、底部剪力、倾覆力矩、罐壁轴向压应力和锚固系数J。当J＞1.54时采用锚固储罐。现阶段缺少广深公路两侧具体地块的场地类别、设计地震分组、特征周期及地基液化资料，故仅形成“必须开展抗震计算并预留锚固构造条件”的方案结论，不预设锚栓数量。</w:t>
      </w:r>
    </w:p>
    <w:p>
      <w:pPr>
        <w:keepNext/>
        <w:spacing w:before="100" w:after="60"/>
      </w:pPr>
      <w:r>
        <w:rPr>
          <w:rFonts w:ascii="Times New Roman" w:hAnsi="Times New Roman" w:eastAsia="黑体"/>
          <w:b/>
          <w:sz w:val="22"/>
        </w:rPr>
        <w:t>3. 环形边缘板径向宽度放大依据</w:t>
      </w:r>
    </w:p>
    <w:p>
      <w:pPr>
        <w:spacing w:line="360" w:lineRule="auto" w:after="60"/>
        <w:ind w:left="198" w:right="113"/>
        <w:jc w:val="both"/>
        <w:shd w:fill="F2F2F2"/>
      </w:pPr>
      <w:r>
        <w:rPr>
          <w:rFonts w:ascii="Times New Roman" w:hAnsi="Times New Roman" w:eastAsia="黑体"/>
          <w:b/>
          <w:color w:val="1F4E79"/>
          <w:sz w:val="21"/>
        </w:rPr>
        <w:t>原文片段：</w:t>
      </w:r>
      <w:r>
        <w:rPr>
          <w:rFonts w:ascii="Times New Roman" w:hAnsi="Times New Roman" w:eastAsia="宋体"/>
          <w:b w:val="0"/>
          <w:sz w:val="21"/>
        </w:rPr>
        <w:t>仅以“抗震放大”说明设计宽度，未反映软土差异沉降因素。</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按GB 50341—2014第5.1.3条计算并满足不小于600 mm的下限后，3万m³汽油罐、3万m³柴油罐和1万m³汽油罐的环形边缘板径向距离方案值分别取700 mm、650 mm和650 mm。该放大同时考虑7度抗震作用下底圈局部应力、环墙边缘支承宽度、黄埔地区软弱土层可能引起的不均匀沉降以及罐底排板施工裕量。最终尺寸应根据岩土勘察、环墙宽度和罐底有限元分析复核，不以方案放大量替代基础沉降计算。</w:t>
      </w:r>
    </w:p>
    <w:p>
      <w:pPr>
        <w:keepNext/>
        <w:spacing w:before="160" w:after="80"/>
        <w:jc w:val="left"/>
      </w:pPr>
      <w:r>
        <w:rPr>
          <w:rFonts w:ascii="Times New Roman" w:hAnsi="Times New Roman" w:eastAsia="黑体"/>
          <w:b/>
          <w:sz w:val="30"/>
        </w:rPr>
        <w:t>五、格式排版统一调整</w:t>
      </w:r>
    </w:p>
    <w:p>
      <w:pPr>
        <w:keepNext/>
        <w:spacing w:before="100" w:after="60"/>
      </w:pPr>
      <w:r>
        <w:rPr>
          <w:rFonts w:ascii="Times New Roman" w:hAnsi="Times New Roman" w:eastAsia="黑体"/>
          <w:b/>
          <w:sz w:val="22"/>
        </w:rPr>
        <w:t>1. 公式、编号和单位</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全文公式采用Word原生公式对象，公式整体居中，编号按“（5-x）”形式右对齐；同一物理量首次出现时说明符号和单位。压力统一用kPa或MPa，长度按计算层级分别用m或mm，质量用t，密度用t/m³或kg/m³；代入式不得省略单位换算。</w:t>
      </w:r>
    </w:p>
    <w:p>
      <w:pPr>
        <w:keepNext/>
        <w:spacing w:before="100" w:after="60"/>
      </w:pPr>
      <w:r>
        <w:rPr>
          <w:rFonts w:ascii="Times New Roman" w:hAnsi="Times New Roman" w:eastAsia="黑体"/>
          <w:b/>
          <w:sz w:val="22"/>
        </w:rPr>
        <w:t>2. 表格表头、表下注释及参考文献标注</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表格均设置连续表号和表名，表头采用“量名/单位”形式；规范下限、方案取值与最终选定值分列。表格注释统一置于表格下方。国家标准在正文中直接写明标准号及条款，不设置参考文献上角标；计划表、指导书和用户提供的计算资料在正文相应位置用上角标[1]～[4]标注，并在本节末列出来源。</w:t>
      </w:r>
    </w:p>
    <w:p>
      <w:pPr>
        <w:keepNext/>
        <w:spacing w:before="100" w:after="60"/>
      </w:pPr>
      <w:r>
        <w:rPr>
          <w:rFonts w:ascii="Times New Roman" w:hAnsi="Times New Roman" w:eastAsia="黑体"/>
          <w:b/>
          <w:sz w:val="22"/>
        </w:rPr>
        <w:t>3. 理论重量适用边界与施工修正</w:t>
      </w:r>
    </w:p>
    <w:p>
      <w:pPr>
        <w:spacing w:line="360" w:lineRule="auto" w:after="60"/>
        <w:ind w:left="198" w:right="113"/>
        <w:jc w:val="both"/>
        <w:shd w:fill="F2F2F2"/>
      </w:pPr>
      <w:r>
        <w:rPr>
          <w:rFonts w:ascii="Times New Roman" w:hAnsi="Times New Roman" w:eastAsia="黑体"/>
          <w:b/>
          <w:color w:val="1F4E79"/>
          <w:sz w:val="21"/>
        </w:rPr>
        <w:t>原文不完整片段：</w:t>
      </w:r>
      <w:r>
        <w:rPr>
          <w:rFonts w:ascii="Times New Roman" w:hAnsi="Times New Roman" w:eastAsia="宋体"/>
          <w:b w:val="0"/>
          <w:sz w:val="21"/>
        </w:rPr>
        <w:t>理论钢板质量未给出统一施工搭接修正系数。</w:t>
      </w:r>
    </w:p>
    <w:p>
      <w:pPr>
        <w:spacing w:line="360" w:lineRule="auto" w:after="60"/>
        <w:ind w:left="198" w:right="113"/>
        <w:jc w:val="both"/>
      </w:pPr>
      <w:r>
        <w:rPr>
          <w:rFonts w:ascii="Times New Roman" w:hAnsi="Times New Roman" w:eastAsia="黑体"/>
          <w:b/>
          <w:color w:val="1F4E79"/>
          <w:sz w:val="21"/>
        </w:rPr>
        <w:t>修改后完整文字：</w:t>
      </w:r>
      <w:r>
        <w:rPr>
          <w:rFonts w:ascii="Times New Roman" w:hAnsi="Times New Roman" w:eastAsia="宋体"/>
          <w:b w:val="0"/>
          <w:sz w:val="21"/>
        </w:rPr>
        <w:t>罐壁、罐底和罐顶重量均为按几何尺寸与钢材密度7850 kg/m³计算的理论板重，仅用于方案阶段基础荷载初算。考虑罐底和罐顶搭接、边角余量及施工损耗，理论板重统一乘1.03的方案修正系数；网壳、内浮顶、加强圈、盘梯平台、接管、附件和焊材仍应按设备材料表另计。该系数为本设计方案假定，不作为采购重量或基础施工图最终荷载。</w:t>
      </w:r>
    </w:p>
    <w:tbl>
      <w:tblPr>
        <w:tblStyle w:val="TableGrid"/>
        <w:tblW w:type="auto" w:w="0"/>
        <w:jc w:val="center"/>
        <w:tblLayout w:type="fixed"/>
        <w:tblLook w:firstColumn="1" w:firstRow="1" w:lastColumn="0" w:lastRow="0" w:noHBand="0" w:noVBand="1" w:val="04A0"/>
      </w:tblPr>
      <w:tblGrid>
        <w:gridCol w:w="1484"/>
        <w:gridCol w:w="1484"/>
        <w:gridCol w:w="1484"/>
        <w:gridCol w:w="1484"/>
        <w:gridCol w:w="1484"/>
        <w:gridCol w:w="1484"/>
      </w:tblGrid>
      <w:tr>
        <w:trPr>
          <w:tblHeader w:val="true"/>
          <w:cantSplit/>
        </w:trPr>
        <w:tc>
          <w:tcPr>
            <w:tcW w:type="dxa" w:w="1814"/>
            <w:vAlign w:val="center"/>
            <w:shd w:fill="D9E2F3"/>
            <w:tcMar>
              <w:top w:w="80" w:type="dxa"/>
              <w:start w:w="100" w:type="dxa"/>
              <w:bottom w:w="80" w:type="dxa"/>
              <w:end w:w="100" w:type="dxa"/>
            </w:tcMar>
          </w:tcPr>
          <w:p>
            <w:pPr>
              <w:jc w:val="center"/>
            </w:pPr>
            <w:r>
              <w:rPr>
                <w:rFonts w:ascii="Times New Roman" w:hAnsi="Times New Roman" w:eastAsia="黑体"/>
                <w:b/>
                <w:sz w:val="18"/>
              </w:rPr>
              <w:t>储罐</w:t>
            </w:r>
          </w:p>
        </w:tc>
        <w:tc>
          <w:tcPr>
            <w:tcW w:type="dxa" w:w="1361"/>
            <w:vAlign w:val="center"/>
            <w:shd w:fill="D9E2F3"/>
            <w:tcMar>
              <w:top w:w="80" w:type="dxa"/>
              <w:start w:w="100" w:type="dxa"/>
              <w:bottom w:w="80" w:type="dxa"/>
              <w:end w:w="100" w:type="dxa"/>
            </w:tcMar>
          </w:tcPr>
          <w:p>
            <w:pPr>
              <w:jc w:val="center"/>
            </w:pPr>
            <w:r>
              <w:rPr>
                <w:rFonts w:ascii="Times New Roman" w:hAnsi="Times New Roman" w:eastAsia="黑体"/>
                <w:b/>
                <w:sz w:val="18"/>
              </w:rPr>
              <w:t>罐壁理论/t</w:t>
            </w:r>
          </w:p>
        </w:tc>
        <w:tc>
          <w:tcPr>
            <w:tcW w:type="dxa" w:w="1361"/>
            <w:vAlign w:val="center"/>
            <w:shd w:fill="D9E2F3"/>
            <w:tcMar>
              <w:top w:w="80" w:type="dxa"/>
              <w:start w:w="100" w:type="dxa"/>
              <w:bottom w:w="80" w:type="dxa"/>
              <w:end w:w="100" w:type="dxa"/>
            </w:tcMar>
          </w:tcPr>
          <w:p>
            <w:pPr>
              <w:jc w:val="center"/>
            </w:pPr>
            <w:r>
              <w:rPr>
                <w:rFonts w:ascii="Times New Roman" w:hAnsi="Times New Roman" w:eastAsia="黑体"/>
                <w:b/>
                <w:sz w:val="18"/>
              </w:rPr>
              <w:t>罐底理论/t</w:t>
            </w:r>
          </w:p>
        </w:tc>
        <w:tc>
          <w:tcPr>
            <w:tcW w:type="dxa" w:w="1361"/>
            <w:vAlign w:val="center"/>
            <w:shd w:fill="D9E2F3"/>
            <w:tcMar>
              <w:top w:w="80" w:type="dxa"/>
              <w:start w:w="100" w:type="dxa"/>
              <w:bottom w:w="80" w:type="dxa"/>
              <w:end w:w="100" w:type="dxa"/>
            </w:tcMar>
          </w:tcPr>
          <w:p>
            <w:pPr>
              <w:jc w:val="center"/>
            </w:pPr>
            <w:r>
              <w:rPr>
                <w:rFonts w:ascii="Times New Roman" w:hAnsi="Times New Roman" w:eastAsia="黑体"/>
                <w:b/>
                <w:sz w:val="18"/>
              </w:rPr>
              <w:t>罐顶理论/t</w:t>
            </w:r>
          </w:p>
        </w:tc>
        <w:tc>
          <w:tcPr>
            <w:tcW w:type="dxa" w:w="1361"/>
            <w:vAlign w:val="center"/>
            <w:shd w:fill="D9E2F3"/>
            <w:tcMar>
              <w:top w:w="80" w:type="dxa"/>
              <w:start w:w="100" w:type="dxa"/>
              <w:bottom w:w="80" w:type="dxa"/>
              <w:end w:w="100" w:type="dxa"/>
            </w:tcMar>
          </w:tcPr>
          <w:p>
            <w:pPr>
              <w:jc w:val="center"/>
            </w:pPr>
            <w:r>
              <w:rPr>
                <w:rFonts w:ascii="Times New Roman" w:hAnsi="Times New Roman" w:eastAsia="黑体"/>
                <w:b/>
                <w:sz w:val="18"/>
              </w:rPr>
              <w:t>板材合计/t</w:t>
            </w:r>
          </w:p>
        </w:tc>
        <w:tc>
          <w:tcPr>
            <w:tcW w:type="dxa" w:w="1304"/>
            <w:vAlign w:val="center"/>
            <w:shd w:fill="D9E2F3"/>
            <w:tcMar>
              <w:top w:w="80" w:type="dxa"/>
              <w:start w:w="100" w:type="dxa"/>
              <w:bottom w:w="80" w:type="dxa"/>
              <w:end w:w="100" w:type="dxa"/>
            </w:tcMar>
          </w:tcPr>
          <w:p>
            <w:pPr>
              <w:jc w:val="center"/>
            </w:pPr>
            <w:r>
              <w:rPr>
                <w:rFonts w:ascii="Times New Roman" w:hAnsi="Times New Roman" w:eastAsia="黑体"/>
                <w:b/>
                <w:sz w:val="18"/>
              </w:rPr>
              <w:t>×1.03/t</w:t>
            </w:r>
          </w:p>
        </w:tc>
      </w:tr>
      <w:tr>
        <w:trPr>
          <w:cantSplit/>
        </w:trPr>
        <w:tc>
          <w:tcPr>
            <w:tcW w:type="dxa" w:w="1814"/>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8"/>
              </w:rPr>
              <w:t>3万m³汽油罐</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267.73</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108.61</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73.27</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449.61</w:t>
            </w:r>
          </w:p>
        </w:tc>
        <w:tc>
          <w:tcPr>
            <w:tcW w:type="dxa" w:w="1304"/>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463.10</w:t>
            </w:r>
          </w:p>
        </w:tc>
      </w:tr>
      <w:tr>
        <w:trPr>
          <w:cantSplit/>
        </w:trPr>
        <w:tc>
          <w:tcPr>
            <w:tcW w:type="dxa" w:w="1814"/>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8"/>
              </w:rPr>
              <w:t>3万m³柴油罐</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267.73</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108.39</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73.27</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449.39</w:t>
            </w:r>
          </w:p>
        </w:tc>
        <w:tc>
          <w:tcPr>
            <w:tcW w:type="dxa" w:w="1304"/>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462.87</w:t>
            </w:r>
          </w:p>
        </w:tc>
      </w:tr>
      <w:tr>
        <w:trPr>
          <w:cantSplit/>
        </w:trPr>
        <w:tc>
          <w:tcPr>
            <w:tcW w:type="dxa" w:w="1814"/>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8"/>
              </w:rPr>
              <w:t>1万m³汽油罐</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89.97</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41.50</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28.12</w:t>
            </w:r>
          </w:p>
        </w:tc>
        <w:tc>
          <w:tcPr>
            <w:tcW w:type="dxa" w:w="1361"/>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159.59</w:t>
            </w:r>
          </w:p>
        </w:tc>
        <w:tc>
          <w:tcPr>
            <w:tcW w:type="dxa" w:w="1304"/>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8"/>
              </w:rPr>
              <w:t>164.38</w:t>
            </w:r>
          </w:p>
        </w:tc>
      </w:tr>
    </w:tbl>
    <w:p>
      <w:pPr>
        <w:spacing w:before="40" w:after="80"/>
      </w:pPr>
      <w:r>
        <w:rPr>
          <w:rFonts w:ascii="Times New Roman" w:hAnsi="Times New Roman" w:eastAsia="宋体"/>
          <w:b w:val="0"/>
          <w:sz w:val="17"/>
        </w:rPr>
        <w:t>注：表中未计网壳、内浮顶、加强圈、盘梯平台、接管及附件。</w:t>
      </w:r>
    </w:p>
    <w:p>
      <w:pPr>
        <w:keepNext/>
        <w:spacing w:before="100" w:after="60"/>
      </w:pPr>
      <w:r>
        <w:rPr>
          <w:rFonts w:ascii="Times New Roman" w:hAnsi="Times New Roman" w:eastAsia="黑体"/>
          <w:b/>
          <w:sz w:val="22"/>
        </w:rPr>
        <w:t>4. 全储罐核心参数汇总总表</w:t>
      </w:r>
    </w:p>
    <w:tbl>
      <w:tblPr>
        <w:tblStyle w:val="TableGrid"/>
        <w:tblW w:type="auto" w:w="0"/>
        <w:jc w:val="center"/>
        <w:tblLayout w:type="fixed"/>
        <w:tblLook w:firstColumn="1" w:firstRow="1" w:lastColumn="0" w:lastRow="0" w:noHBand="0" w:noVBand="1" w:val="04A0"/>
      </w:tblPr>
      <w:tblGrid>
        <w:gridCol w:w="2225"/>
        <w:gridCol w:w="2225"/>
        <w:gridCol w:w="2225"/>
        <w:gridCol w:w="2225"/>
      </w:tblGrid>
      <w:tr>
        <w:trPr>
          <w:tblHeader w:val="true"/>
          <w:cantSplit/>
        </w:trPr>
        <w:tc>
          <w:tcPr>
            <w:tcW w:type="dxa" w:w="2268"/>
            <w:vAlign w:val="center"/>
            <w:shd w:fill="D9E2F3"/>
            <w:tcMar>
              <w:top w:w="80" w:type="dxa"/>
              <w:start w:w="100" w:type="dxa"/>
              <w:bottom w:w="80" w:type="dxa"/>
              <w:end w:w="100" w:type="dxa"/>
            </w:tcMar>
          </w:tcPr>
          <w:p>
            <w:pPr>
              <w:jc w:val="center"/>
            </w:pPr>
            <w:r>
              <w:rPr>
                <w:rFonts w:ascii="Times New Roman" w:hAnsi="Times New Roman" w:eastAsia="黑体"/>
                <w:b/>
                <w:sz w:val="17"/>
              </w:rPr>
              <w:t>项目</w:t>
            </w:r>
          </w:p>
        </w:tc>
        <w:tc>
          <w:tcPr>
            <w:tcW w:type="dxa" w:w="2268"/>
            <w:vAlign w:val="center"/>
            <w:shd w:fill="D9E2F3"/>
            <w:tcMar>
              <w:top w:w="80" w:type="dxa"/>
              <w:start w:w="100" w:type="dxa"/>
              <w:bottom w:w="80" w:type="dxa"/>
              <w:end w:w="100" w:type="dxa"/>
            </w:tcMar>
          </w:tcPr>
          <w:p>
            <w:pPr>
              <w:jc w:val="center"/>
            </w:pPr>
            <w:r>
              <w:rPr>
                <w:rFonts w:ascii="Times New Roman" w:hAnsi="Times New Roman" w:eastAsia="黑体"/>
                <w:b/>
                <w:sz w:val="17"/>
              </w:rPr>
              <w:t>3万m³汽油罐</w:t>
            </w:r>
          </w:p>
        </w:tc>
        <w:tc>
          <w:tcPr>
            <w:tcW w:type="dxa" w:w="2268"/>
            <w:vAlign w:val="center"/>
            <w:shd w:fill="D9E2F3"/>
            <w:tcMar>
              <w:top w:w="80" w:type="dxa"/>
              <w:start w:w="100" w:type="dxa"/>
              <w:bottom w:w="80" w:type="dxa"/>
              <w:end w:w="100" w:type="dxa"/>
            </w:tcMar>
          </w:tcPr>
          <w:p>
            <w:pPr>
              <w:jc w:val="center"/>
            </w:pPr>
            <w:r>
              <w:rPr>
                <w:rFonts w:ascii="Times New Roman" w:hAnsi="Times New Roman" w:eastAsia="黑体"/>
                <w:b/>
                <w:sz w:val="17"/>
              </w:rPr>
              <w:t>3万m³柴油罐</w:t>
            </w:r>
          </w:p>
        </w:tc>
        <w:tc>
          <w:tcPr>
            <w:tcW w:type="dxa" w:w="2268"/>
            <w:vAlign w:val="center"/>
            <w:shd w:fill="D9E2F3"/>
            <w:tcMar>
              <w:top w:w="80" w:type="dxa"/>
              <w:start w:w="100" w:type="dxa"/>
              <w:bottom w:w="80" w:type="dxa"/>
              <w:end w:w="100" w:type="dxa"/>
            </w:tcMar>
          </w:tcPr>
          <w:p>
            <w:pPr>
              <w:jc w:val="center"/>
            </w:pPr>
            <w:r>
              <w:rPr>
                <w:rFonts w:ascii="Times New Roman" w:hAnsi="Times New Roman" w:eastAsia="黑体"/>
                <w:b/>
                <w:sz w:val="17"/>
              </w:rPr>
              <w:t>1万m³汽油罐</w:t>
            </w:r>
          </w:p>
        </w:tc>
      </w:tr>
      <w:tr>
        <w:trPr>
          <w:cantSplit/>
        </w:trPr>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7"/>
              </w:rPr>
              <w:t>罐型</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固定顶内浮顶</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固定拱顶</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固定顶内浮顶</w:t>
            </w:r>
          </w:p>
        </w:tc>
      </w:tr>
      <w:tr>
        <w:trPr>
          <w:cantSplit/>
        </w:trPr>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7"/>
              </w:rPr>
              <w:t>D×H/m</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46.0×18.0</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46.0×18.0</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28.5×16.0</w:t>
            </w:r>
          </w:p>
        </w:tc>
      </w:tr>
      <w:tr>
        <w:trPr>
          <w:cantSplit/>
        </w:trPr>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7"/>
              </w:rPr>
              <w:t>设计液位/m</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17.1</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17.1</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15.2</w:t>
            </w:r>
          </w:p>
        </w:tc>
      </w:tr>
      <w:tr>
        <w:trPr>
          <w:cantSplit/>
        </w:trPr>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7"/>
              </w:rPr>
              <w:t>罐壁tn/mm</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22/20/16/14/12/10/8/8/8</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同左</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12/10/10/8/6/6/6/6</w:t>
            </w:r>
          </w:p>
        </w:tc>
      </w:tr>
      <w:tr>
        <w:trPr>
          <w:cantSplit/>
        </w:trPr>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7"/>
              </w:rPr>
              <w:t>中幅板tn/mm</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8</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8</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8</w:t>
            </w:r>
          </w:p>
        </w:tc>
      </w:tr>
      <w:tr>
        <w:trPr>
          <w:cantSplit/>
        </w:trPr>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7"/>
              </w:rPr>
              <w:t>边缘板tn/mm</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12</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12</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10</w:t>
            </w:r>
          </w:p>
        </w:tc>
      </w:tr>
      <w:tr>
        <w:trPr>
          <w:cantSplit/>
        </w:trPr>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7"/>
              </w:rPr>
              <w:t>拱顶矢高/m</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8.073</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8.073</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5.002</w:t>
            </w:r>
          </w:p>
        </w:tc>
      </w:tr>
      <w:tr>
        <w:trPr>
          <w:cantSplit/>
        </w:trPr>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7"/>
              </w:rPr>
              <w:t>设计外压/kPa</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1.339</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1.589</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1.294</w:t>
            </w:r>
          </w:p>
        </w:tc>
      </w:tr>
      <w:tr>
        <w:trPr>
          <w:cantSplit/>
        </w:trPr>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7"/>
              </w:rPr>
              <w:t>临界抗风压力/kPa</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0.712</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0.712</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0.522</w:t>
            </w:r>
          </w:p>
        </w:tc>
      </w:tr>
      <w:tr>
        <w:trPr>
          <w:cantSplit/>
        </w:trPr>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7"/>
              </w:rPr>
              <w:t>中间抗风圈/道</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1</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2</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2</w:t>
            </w:r>
          </w:p>
        </w:tc>
      </w:tr>
      <w:tr>
        <w:trPr>
          <w:cantSplit/>
        </w:trPr>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sz w:val="17"/>
              </w:rPr>
              <w:t>抗风圈标高/m</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+13.690</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+15.127、+12.253</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sz w:val="17"/>
              </w:rPr>
              <w:t>+12.687、+9.375</w:t>
            </w:r>
          </w:p>
        </w:tc>
      </w:tr>
    </w:tbl>
    <w:p>
      <w:pPr>
        <w:spacing w:before="40" w:after="80"/>
      </w:pPr>
      <w:r>
        <w:rPr>
          <w:rFonts w:ascii="Times New Roman" w:hAnsi="Times New Roman" w:eastAsia="宋体"/>
          <w:b w:val="0"/>
          <w:sz w:val="17"/>
        </w:rPr>
        <w:t>注：抗风圈标高从罐底起算；施工图阶段按焊缝及接管位置微调。</w:t>
      </w:r>
    </w:p>
    <w:p>
      <w:pPr>
        <w:keepNext/>
        <w:spacing w:before="160" w:after="80"/>
        <w:jc w:val="left"/>
      </w:pPr>
      <w:r>
        <w:rPr>
          <w:rFonts w:ascii="Times New Roman" w:hAnsi="Times New Roman" w:eastAsia="黑体"/>
          <w:b/>
          <w:sz w:val="30"/>
        </w:rPr>
        <w:t>六、缺失设计内容新增段落</w:t>
      </w:r>
    </w:p>
    <w:p>
      <w:pPr>
        <w:keepNext/>
        <w:spacing w:before="100" w:after="60"/>
      </w:pPr>
      <w:r>
        <w:rPr>
          <w:rFonts w:ascii="Times New Roman" w:hAnsi="Times New Roman" w:eastAsia="黑体"/>
          <w:b/>
          <w:sz w:val="22"/>
        </w:rPr>
        <w:t>1. Q345R低温冲击韧性简要校核</w:t>
      </w:r>
    </w:p>
    <w:p>
      <w:pPr>
        <w:spacing w:line="360" w:lineRule="auto" w:after="60"/>
        <w:ind w:left="198" w:right="113"/>
        <w:jc w:val="both"/>
      </w:pPr>
      <w:r>
        <w:rPr>
          <w:rFonts w:ascii="Times New Roman" w:hAnsi="Times New Roman" w:eastAsia="黑体"/>
          <w:b/>
          <w:color w:val="1F4E79"/>
          <w:sz w:val="21"/>
        </w:rPr>
        <w:t>新增完整文字：</w:t>
      </w:r>
      <w:r>
        <w:rPr>
          <w:rFonts w:ascii="Times New Roman" w:hAnsi="Times New Roman" w:eastAsia="宋体"/>
          <w:b w:val="0"/>
          <w:sz w:val="21"/>
        </w:rPr>
        <w:t>本项目绝对最低气温为1.8 ℃，方案阶段将其作为最低金属温度。依据GB/T 713.2—2023，Q345R在规定厚度范围内的0 ℃夏比V型缺口冲击吸收能量不小于41 J。最低金属温度高于标准冲击试验温度，材料低温韧性满足方案选材条件。施工图材料表仍应根据钢板实际厚度、交货状态和焊接工艺评定复核冲击要求。</w:t>
      </w:r>
    </w:p>
    <w:p>
      <w:pPr>
        <w:keepNext/>
        <w:spacing w:before="100" w:after="60"/>
      </w:pPr>
      <w:r>
        <w:rPr>
          <w:rFonts w:ascii="Times New Roman" w:hAnsi="Times New Roman" w:eastAsia="黑体"/>
          <w:b/>
          <w:sz w:val="22"/>
        </w:rPr>
        <w:t>2. 接管开孔补强</w:t>
      </w:r>
    </w:p>
    <w:p>
      <w:pPr>
        <w:spacing w:line="360" w:lineRule="auto" w:after="60"/>
        <w:ind w:left="198" w:right="113"/>
        <w:jc w:val="both"/>
      </w:pPr>
      <w:r>
        <w:rPr>
          <w:rFonts w:ascii="Times New Roman" w:hAnsi="Times New Roman" w:eastAsia="黑体"/>
          <w:b/>
          <w:color w:val="1F4E79"/>
          <w:sz w:val="21"/>
        </w:rPr>
        <w:t>新增完整文字：</w:t>
      </w:r>
      <w:r>
        <w:rPr>
          <w:rFonts w:ascii="Times New Roman" w:hAnsi="Times New Roman" w:eastAsia="宋体"/>
          <w:b w:val="0"/>
          <w:sz w:val="21"/>
        </w:rPr>
        <w:t>罐壁进出油接管、排水口、人孔和清扫孔按GB 50341—2014第10章进行开孔补强。补强计算应计入开孔削弱面积、罐壁有效厚度、接管有效厚度、补强板面积和焊缝有效面积。3万m³罐直径大于36 m，罐壁接管承受管道自重、热位移及阀门荷载时，还应按该规范附录J校核允许外载。现阶段缺少接管口径、标高和管道反力，故仅预留补强板及柔性连接空间，不虚列补强面积。</w:t>
      </w:r>
    </w:p>
    <w:p>
      <w:pPr>
        <w:keepNext/>
        <w:spacing w:before="100" w:after="60"/>
      </w:pPr>
      <w:r>
        <w:rPr>
          <w:rFonts w:ascii="Times New Roman" w:hAnsi="Times New Roman" w:eastAsia="黑体"/>
          <w:b/>
          <w:sz w:val="22"/>
        </w:rPr>
        <w:t>3. 内浮顶支柱荷载</w:t>
      </w:r>
    </w:p>
    <w:p>
      <w:pPr>
        <w:spacing w:line="360" w:lineRule="auto" w:after="60"/>
        <w:ind w:left="198" w:right="113"/>
        <w:jc w:val="both"/>
      </w:pPr>
      <w:r>
        <w:rPr>
          <w:rFonts w:ascii="Times New Roman" w:hAnsi="Times New Roman" w:eastAsia="黑体"/>
          <w:b/>
          <w:color w:val="1F4E79"/>
          <w:sz w:val="21"/>
        </w:rPr>
        <w:t>新增完整文字：</w:t>
      </w:r>
      <w:r>
        <w:rPr>
          <w:rFonts w:ascii="Times New Roman" w:hAnsi="Times New Roman" w:eastAsia="宋体"/>
          <w:b w:val="0"/>
          <w:sz w:val="21"/>
        </w:rPr>
        <w:t>汽油罐金属隔舱式内浮顶按漂浮、积液和支柱落底三类工况设计。支柱落底时，内浮顶自重、密封装置重量及检修活荷载通过支柱传递至罐底，支柱下方应设置垫板并避开罐底搭接焊缝、集水坑和加热构件。支柱数量、间距、垫板厚度及罐底局部承压须由内浮顶制造单位提供荷载后复核，本节不以经验间距代替专项计算。</w:t>
      </w:r>
    </w:p>
    <w:p>
      <w:pPr>
        <w:keepNext/>
        <w:spacing w:before="100" w:after="60"/>
      </w:pPr>
      <w:r>
        <w:rPr>
          <w:rFonts w:ascii="Times New Roman" w:hAnsi="Times New Roman" w:eastAsia="黑体"/>
          <w:b/>
          <w:sz w:val="22"/>
        </w:rPr>
        <w:t>4. 防腐涂层干膜厚度设计值</w:t>
      </w:r>
    </w:p>
    <w:p>
      <w:pPr>
        <w:spacing w:line="360" w:lineRule="auto" w:after="60"/>
        <w:ind w:left="198" w:right="113"/>
        <w:jc w:val="both"/>
      </w:pPr>
      <w:r>
        <w:rPr>
          <w:rFonts w:ascii="Times New Roman" w:hAnsi="Times New Roman" w:eastAsia="黑体"/>
          <w:b/>
          <w:color w:val="1F4E79"/>
          <w:sz w:val="21"/>
        </w:rPr>
        <w:t>新增完整文字：</w:t>
      </w:r>
      <w:r>
        <w:rPr>
          <w:rFonts w:ascii="Times New Roman" w:hAnsi="Times New Roman" w:eastAsia="宋体"/>
          <w:b w:val="0"/>
          <w:sz w:val="21"/>
        </w:rPr>
        <w:t>结合黄埔区高温、高湿、多雨及工业大气环境，方案阶段罐外壁和固定顶采用环氧底漆、环氧中间漆及耐候面漆，设计总干膜厚度不小于240 μm；罐底内表面及罐壁下部1.5 m范围采用耐油环氧体系，总干膜厚度不小于350 μm；罐底外表面采用重防腐体系，总干膜厚度不小于300 μm，并与基础防渗和阴极保护协调。上述数值为本项目方案设计值，最终涂层配套应依据GB/T 50393—2017、环境腐蚀性评价和涂料型式试验确定。</w:t>
      </w:r>
    </w:p>
    <w:p>
      <w:pPr>
        <w:keepNext/>
        <w:spacing w:before="100" w:after="60"/>
      </w:pPr>
      <w:r>
        <w:rPr>
          <w:rFonts w:ascii="Times New Roman" w:hAnsi="Times New Roman" w:eastAsia="黑体"/>
          <w:b/>
          <w:sz w:val="22"/>
        </w:rPr>
        <w:t>5. 储罐消防配套</w:t>
      </w:r>
    </w:p>
    <w:p>
      <w:pPr>
        <w:spacing w:line="360" w:lineRule="auto" w:after="60"/>
        <w:ind w:left="198" w:right="113"/>
        <w:jc w:val="both"/>
      </w:pPr>
      <w:r>
        <w:rPr>
          <w:rFonts w:ascii="Times New Roman" w:hAnsi="Times New Roman" w:eastAsia="黑体"/>
          <w:b/>
          <w:color w:val="1F4E79"/>
          <w:sz w:val="21"/>
        </w:rPr>
        <w:t>新增完整文字：</w:t>
      </w:r>
      <w:r>
        <w:rPr>
          <w:rFonts w:ascii="Times New Roman" w:hAnsi="Times New Roman" w:eastAsia="宋体"/>
          <w:b w:val="0"/>
          <w:sz w:val="21"/>
        </w:rPr>
        <w:t>依据GB 50074—2014第12章，单罐容量大于1000 m³的甲B、丙A类地上立式储罐设置固定式泡沫灭火系统；单罐容量不小于3000 m³或罐壁高度不低于15 m时设置固定式消防冷却水系统。本设计6座储罐均配置固定泡沫和固定冷却水设施。汽油内浮顶罐泡沫供给按内浮顶罐形式确定，柴油固定顶罐按固定顶罐形式确定；泡沫混合液流量、冷却水强度、连续供给时间和消防储量在消防章节结合最大事故罐计算。</w:t>
      </w:r>
    </w:p>
    <w:p>
      <w:pPr>
        <w:keepNext/>
        <w:spacing w:before="100" w:after="60"/>
      </w:pPr>
      <w:r>
        <w:rPr>
          <w:rFonts w:ascii="Times New Roman" w:hAnsi="Times New Roman" w:eastAsia="黑体"/>
          <w:b/>
          <w:sz w:val="22"/>
        </w:rPr>
        <w:t>6. 方案阶段与施工图深化边界</w:t>
      </w:r>
    </w:p>
    <w:p>
      <w:pPr>
        <w:spacing w:line="360" w:lineRule="auto" w:after="60"/>
        <w:ind w:left="198" w:right="113"/>
        <w:jc w:val="both"/>
      </w:pPr>
      <w:r>
        <w:rPr>
          <w:rFonts w:ascii="Times New Roman" w:hAnsi="Times New Roman" w:eastAsia="黑体"/>
          <w:b/>
          <w:color w:val="1F4E79"/>
          <w:sz w:val="21"/>
        </w:rPr>
        <w:t>新增完整文字：</w:t>
      </w:r>
      <w:r>
        <w:rPr>
          <w:rFonts w:ascii="Times New Roman" w:hAnsi="Times New Roman" w:eastAsia="宋体"/>
          <w:b w:val="0"/>
          <w:sz w:val="21"/>
        </w:rPr>
        <w:t>本节已完成罐容、几何尺寸、罐壁厚度、罐底构造、拱顶几何和抗风圈的方案计算。抗震锚固、基础承载与沉降、接管补强、罐顶网壳、通气装置、油气控制接口、内浮顶支柱和消防水力计算分别依赖岩土勘察与地震动参数、最大收发油流量、管道反力、设备荷载及消防系统参数，应在施工图阶段依据实测和厂家资料深化。未取得上述输入前，不给出锚栓数量、呼吸阀口径、网壳杆件规格和基础配筋等伪精确结论。</w:t>
      </w:r>
    </w:p>
    <w:p>
      <w:pPr>
        <w:keepNext/>
        <w:spacing w:before="160" w:after="80"/>
        <w:jc w:val="left"/>
      </w:pPr>
      <w:r>
        <w:rPr>
          <w:rFonts w:ascii="Times New Roman" w:hAnsi="Times New Roman" w:eastAsia="黑体"/>
          <w:b/>
          <w:sz w:val="30"/>
        </w:rPr>
        <w:t>参考资料</w:t>
      </w:r>
    </w:p>
    <w:p>
      <w:pPr>
        <w:spacing w:line="300" w:lineRule="auto"/>
        <w:ind w:left="420"/>
      </w:pPr>
      <w:r>
        <w:rPr>
          <w:rFonts w:ascii="Times New Roman" w:hAnsi="Times New Roman" w:eastAsia="宋体"/>
          <w:b w:val="0"/>
          <w:sz w:val="19"/>
        </w:rPr>
        <w:t>[1] 裴慧琳. 计划表—裴慧琳[Z]. 2026.</w:t>
      </w:r>
    </w:p>
    <w:p>
      <w:pPr>
        <w:spacing w:line="300" w:lineRule="auto"/>
        <w:ind w:left="420"/>
      </w:pPr>
      <w:r>
        <w:rPr>
          <w:rFonts w:ascii="Times New Roman" w:hAnsi="Times New Roman" w:eastAsia="宋体"/>
          <w:b w:val="0"/>
          <w:sz w:val="19"/>
        </w:rPr>
        <w:t>[2] 泉州职业技术大学. 油库毕业设计指导书[Z].</w:t>
      </w:r>
    </w:p>
    <w:p>
      <w:pPr>
        <w:spacing w:line="300" w:lineRule="auto"/>
        <w:ind w:left="420"/>
      </w:pPr>
      <w:r>
        <w:rPr>
          <w:rFonts w:ascii="Times New Roman" w:hAnsi="Times New Roman" w:eastAsia="宋体"/>
          <w:b w:val="0"/>
          <w:sz w:val="19"/>
        </w:rPr>
        <w:t>[3] 抗风圈计算+变点法计算储罐壁厚[Z]. 用户提供技术资料.</w:t>
      </w:r>
    </w:p>
    <w:p>
      <w:pPr>
        <w:spacing w:line="300" w:lineRule="auto"/>
        <w:ind w:left="420"/>
      </w:pPr>
      <w:r>
        <w:rPr>
          <w:rFonts w:ascii="Times New Roman" w:hAnsi="Times New Roman" w:eastAsia="宋体"/>
          <w:b w:val="0"/>
          <w:sz w:val="19"/>
        </w:rPr>
        <w:t>[4] 大型储罐计算书：4000 m³储罐计算书[Z]. 用户提供技术资料.</w:t>
      </w:r>
    </w:p>
    <w:sectPr w:rsidR="00FC693F" w:rsidRPr="0006063C" w:rsidSect="00034616">
      <w:footerReference w:type="default" r:id="rId9"/>
      <w:pgSz w:w="11906" w:h="16838"/>
      <w:pgMar w:top="1417" w:right="1417" w:bottom="1361" w:left="158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5.1储油罐计算及选型—全套修正优化对照稿</dc:title>
  <dc:subject>广州黄埔区油库毕业设计储罐计算校核</dc:subject>
  <dc:creator>裴慧琳</dc:creator>
  <cp:keywords>储油罐, GB 50341-2014, 抗风圈, 罐壁, 罐底</cp:keywords>
  <dc:description>generated by python-docx</dc:description>
  <cp:lastModifiedBy/>
  <cp:revision>1</cp:revision>
  <dcterms:created xsi:type="dcterms:W3CDTF">2013-12-23T23:15:00Z</dcterms:created>
  <dcterms:modified xsi:type="dcterms:W3CDTF">2013-12-23T23:15:00Z</dcterms:modified>
  <cp:category/>
</cp:coreProperties>
</file>