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7774B1">
      <w:pPr>
        <w:spacing w:line="360" w:lineRule="auto"/>
        <w:jc w:val="center"/>
        <w:rPr>
          <w:rFonts w:ascii="方正小标宋简体" w:hAnsi="方正小标宋简体" w:eastAsia="方正小标宋简体" w:cs="方正小标宋简体"/>
          <w:b w:val="0"/>
          <w:bCs w:val="0"/>
          <w:color w:val="000000" w:themeColor="text1"/>
          <w:sz w:val="44"/>
          <w:szCs w:val="44"/>
          <w:highlight w:val="none"/>
          <w14:textFill>
            <w14:solidFill>
              <w14:schemeClr w14:val="tx1"/>
            </w14:solidFill>
          </w14:textFill>
        </w:rPr>
      </w:pPr>
      <w:r>
        <w:rPr>
          <w:rFonts w:hint="eastAsia" w:ascii="方正小标宋简体" w:hAnsi="方正小标宋简体" w:eastAsia="方正小标宋简体" w:cs="方正小标宋简体"/>
          <w:b w:val="0"/>
          <w:bCs w:val="0"/>
          <w:color w:val="000000" w:themeColor="text1"/>
          <w:sz w:val="44"/>
          <w:szCs w:val="44"/>
          <w:highlight w:val="none"/>
          <w14:textFill>
            <w14:solidFill>
              <w14:schemeClr w14:val="tx1"/>
            </w14:solidFill>
          </w14:textFill>
        </w:rPr>
        <w:t>泉州职业技术大学</w:t>
      </w:r>
    </w:p>
    <w:p w14:paraId="62D58A51">
      <w:pPr>
        <w:spacing w:line="360" w:lineRule="auto"/>
        <w:jc w:val="center"/>
        <w:rPr>
          <w:rFonts w:ascii="黑体" w:hAnsi="Times New Roman" w:eastAsia="黑体"/>
          <w:b w:val="0"/>
          <w:bCs w:val="0"/>
          <w:color w:val="000000" w:themeColor="text1"/>
          <w:sz w:val="40"/>
          <w:szCs w:val="40"/>
          <w:highlight w:val="none"/>
          <w14:textFill>
            <w14:solidFill>
              <w14:schemeClr w14:val="tx1"/>
            </w14:solidFill>
          </w14:textFill>
        </w:rPr>
      </w:pPr>
      <w:r>
        <w:rPr>
          <w:rFonts w:hint="eastAsia" w:ascii="方正小标宋简体" w:hAnsi="方正小标宋简体" w:eastAsia="方正小标宋简体" w:cs="方正小标宋简体"/>
          <w:b w:val="0"/>
          <w:bCs w:val="0"/>
          <w:color w:val="000000" w:themeColor="text1"/>
          <w:sz w:val="44"/>
          <w:szCs w:val="44"/>
          <w:highlight w:val="none"/>
          <w:lang w:val="en-US" w:eastAsia="zh-CN"/>
          <w14:textFill>
            <w14:solidFill>
              <w14:schemeClr w14:val="tx1"/>
            </w14:solidFill>
          </w14:textFill>
        </w:rPr>
        <w:t>本科</w:t>
      </w:r>
      <w:r>
        <w:rPr>
          <w:rFonts w:hint="eastAsia" w:ascii="方正小标宋简体" w:hAnsi="方正小标宋简体" w:eastAsia="方正小标宋简体" w:cs="方正小标宋简体"/>
          <w:b w:val="0"/>
          <w:bCs w:val="0"/>
          <w:color w:val="000000" w:themeColor="text1"/>
          <w:sz w:val="44"/>
          <w:szCs w:val="44"/>
          <w:highlight w:val="none"/>
          <w:lang w:eastAsia="zh-CN"/>
          <w14:textFill>
            <w14:solidFill>
              <w14:schemeClr w14:val="tx1"/>
            </w14:solidFill>
          </w14:textFill>
        </w:rPr>
        <w:t>毕业设计</w:t>
      </w:r>
      <w:r>
        <w:rPr>
          <w:rFonts w:hint="eastAsia" w:ascii="方正小标宋简体" w:hAnsi="方正小标宋简体" w:eastAsia="方正小标宋简体" w:cs="方正小标宋简体"/>
          <w:b w:val="0"/>
          <w:bCs w:val="0"/>
          <w:color w:val="000000" w:themeColor="text1"/>
          <w:sz w:val="44"/>
          <w:szCs w:val="44"/>
          <w:highlight w:val="none"/>
          <w14:textFill>
            <w14:solidFill>
              <w14:schemeClr w14:val="tx1"/>
            </w14:solidFill>
          </w14:textFill>
        </w:rPr>
        <w:t>开题报告书</w:t>
      </w:r>
    </w:p>
    <w:p w14:paraId="2343C9E2">
      <w:pPr>
        <w:spacing w:line="360" w:lineRule="auto"/>
        <w:ind w:firstLine="627" w:firstLineChars="196"/>
        <w:jc w:val="center"/>
        <w:rPr>
          <w:rFonts w:ascii="黑体" w:hAnsi="Times New Roman" w:eastAsia="黑体"/>
          <w:color w:val="000000" w:themeColor="text1"/>
          <w:sz w:val="32"/>
          <w:szCs w:val="32"/>
          <w:highlight w:val="none"/>
          <w14:textFill>
            <w14:solidFill>
              <w14:schemeClr w14:val="tx1"/>
            </w14:solidFill>
          </w14:textFill>
        </w:rPr>
      </w:pPr>
    </w:p>
    <w:p w14:paraId="31CA84AD">
      <w:pPr>
        <w:ind w:firstLine="241" w:firstLineChars="100"/>
        <w:rPr>
          <w:rFonts w:ascii="黑体" w:hAnsi="黑体" w:eastAsia="黑体"/>
          <w:b/>
          <w:color w:val="000000" w:themeColor="text1"/>
          <w:sz w:val="24"/>
          <w:szCs w:val="24"/>
          <w:highlight w:val="none"/>
          <w14:textFill>
            <w14:solidFill>
              <w14:schemeClr w14:val="tx1"/>
            </w14:solidFill>
          </w14:textFill>
        </w:rPr>
      </w:pPr>
    </w:p>
    <w:p w14:paraId="123B9691">
      <w:pPr>
        <w:ind w:firstLine="357" w:firstLineChars="149"/>
        <w:rPr>
          <w:rFonts w:ascii="宋体" w:hAnsi="宋体"/>
          <w:color w:val="000000" w:themeColor="text1"/>
          <w:sz w:val="24"/>
          <w:szCs w:val="24"/>
          <w:highlight w:val="none"/>
          <w14:textFill>
            <w14:solidFill>
              <w14:schemeClr w14:val="tx1"/>
            </w14:solidFill>
          </w14:textFill>
        </w:rPr>
      </w:pPr>
    </w:p>
    <w:p w14:paraId="7BA83BB4">
      <w:pPr>
        <w:pStyle w:val="23"/>
      </w:pPr>
    </w:p>
    <w:p w14:paraId="7EF1C658">
      <w:pPr>
        <w:spacing w:line="360" w:lineRule="auto"/>
        <w:ind w:firstLine="1944" w:firstLineChars="648"/>
        <w:rPr>
          <w:rFonts w:ascii="宋体" w:hAnsi="宋体"/>
          <w:color w:val="000000" w:themeColor="text1"/>
          <w:sz w:val="30"/>
          <w:szCs w:val="30"/>
          <w:highlight w:val="none"/>
          <w14:textFill>
            <w14:solidFill>
              <w14:schemeClr w14:val="tx1"/>
            </w14:solidFill>
          </w14:textFill>
        </w:rPr>
      </w:pPr>
      <w:r>
        <w:rPr>
          <w:rFonts w:hint="eastAsia" w:ascii="宋体" w:hAnsi="宋体"/>
          <w:color w:val="000000" w:themeColor="text1"/>
          <w:sz w:val="30"/>
          <w:szCs w:val="30"/>
          <w:highlight w:val="none"/>
          <w14:textFill>
            <w14:solidFill>
              <w14:schemeClr w14:val="tx1"/>
            </w14:solidFill>
          </w14:textFill>
        </w:rPr>
        <w:t xml:space="preserve">题    目  </w:t>
      </w:r>
      <w:r>
        <w:rPr>
          <w:rFonts w:hint="eastAsia" w:ascii="宋体" w:hAnsi="宋体"/>
          <w:color w:val="000000" w:themeColor="text1"/>
          <w:sz w:val="30"/>
          <w:szCs w:val="30"/>
          <w:highlight w:val="none"/>
          <w:u w:val="single"/>
          <w:lang w:val="en-US" w:eastAsia="zh-CN"/>
          <w14:textFill>
            <w14:solidFill>
              <w14:schemeClr w14:val="tx1"/>
            </w14:solidFill>
          </w14:textFill>
        </w:rPr>
        <w:t>广州黄埔油库工艺设计</w:t>
      </w:r>
      <w:r>
        <w:rPr>
          <w:rFonts w:hint="eastAsia" w:ascii="宋体" w:hAnsi="宋体"/>
          <w:color w:val="000000" w:themeColor="text1"/>
          <w:sz w:val="30"/>
          <w:szCs w:val="30"/>
          <w:highlight w:val="none"/>
          <w:u w:val="single"/>
          <w14:textFill>
            <w14:solidFill>
              <w14:schemeClr w14:val="tx1"/>
            </w14:solidFill>
          </w14:textFill>
        </w:rPr>
        <w:t xml:space="preserve"> </w:t>
      </w:r>
    </w:p>
    <w:p w14:paraId="1E7B35F5">
      <w:pPr>
        <w:spacing w:line="360" w:lineRule="auto"/>
        <w:ind w:firstLine="447" w:firstLineChars="149"/>
        <w:rPr>
          <w:rFonts w:ascii="宋体" w:hAnsi="宋体"/>
          <w:color w:val="000000" w:themeColor="text1"/>
          <w:sz w:val="30"/>
          <w:szCs w:val="30"/>
          <w:highlight w:val="none"/>
          <w:u w:val="single"/>
          <w14:textFill>
            <w14:solidFill>
              <w14:schemeClr w14:val="tx1"/>
            </w14:solidFill>
          </w14:textFill>
        </w:rPr>
      </w:pPr>
      <w:r>
        <w:rPr>
          <w:rFonts w:hint="eastAsia" w:ascii="宋体" w:hAnsi="宋体"/>
          <w:color w:val="000000" w:themeColor="text1"/>
          <w:sz w:val="30"/>
          <w:szCs w:val="30"/>
          <w:highlight w:val="none"/>
          <w14:textFill>
            <w14:solidFill>
              <w14:schemeClr w14:val="tx1"/>
            </w14:solidFill>
          </w14:textFill>
        </w:rPr>
        <w:t xml:space="preserve">          学    院  </w:t>
      </w:r>
      <w:r>
        <w:rPr>
          <w:rFonts w:hint="eastAsia" w:ascii="宋体" w:hAnsi="宋体"/>
          <w:color w:val="000000" w:themeColor="text1"/>
          <w:sz w:val="30"/>
          <w:szCs w:val="30"/>
          <w:highlight w:val="none"/>
          <w:u w:val="single"/>
          <w14:textFill>
            <w14:solidFill>
              <w14:schemeClr w14:val="tx1"/>
            </w14:solidFill>
          </w14:textFill>
        </w:rPr>
        <w:t xml:space="preserve">   </w:t>
      </w:r>
      <w:r>
        <w:rPr>
          <w:rFonts w:hint="eastAsia" w:ascii="宋体" w:hAnsi="宋体"/>
          <w:color w:val="000000" w:themeColor="text1"/>
          <w:sz w:val="30"/>
          <w:szCs w:val="30"/>
          <w:highlight w:val="none"/>
          <w:u w:val="single"/>
          <w:lang w:val="en-US" w:eastAsia="zh-CN"/>
          <w14:textFill>
            <w14:solidFill>
              <w14:schemeClr w14:val="tx1"/>
            </w14:solidFill>
          </w14:textFill>
        </w:rPr>
        <w:t xml:space="preserve"> </w:t>
      </w:r>
      <w:r>
        <w:rPr>
          <w:rFonts w:hint="eastAsia" w:ascii="宋体" w:hAnsi="宋体"/>
          <w:color w:val="000000" w:themeColor="text1"/>
          <w:sz w:val="30"/>
          <w:szCs w:val="30"/>
          <w:highlight w:val="none"/>
          <w:u w:val="single"/>
          <w14:textFill>
            <w14:solidFill>
              <w14:schemeClr w14:val="tx1"/>
            </w14:solidFill>
          </w14:textFill>
        </w:rPr>
        <w:t xml:space="preserve"> </w:t>
      </w:r>
      <w:r>
        <w:rPr>
          <w:rFonts w:hint="eastAsia" w:ascii="宋体" w:hAnsi="宋体"/>
          <w:color w:val="000000" w:themeColor="text1"/>
          <w:sz w:val="30"/>
          <w:szCs w:val="30"/>
          <w:highlight w:val="none"/>
          <w:u w:val="single"/>
          <w:lang w:val="en-US" w:eastAsia="zh-CN"/>
          <w14:textFill>
            <w14:solidFill>
              <w14:schemeClr w14:val="tx1"/>
            </w14:solidFill>
          </w14:textFill>
        </w:rPr>
        <w:t xml:space="preserve"> 能源学院</w:t>
      </w:r>
      <w:r>
        <w:rPr>
          <w:rFonts w:hint="eastAsia" w:ascii="宋体" w:hAnsi="宋体"/>
          <w:color w:val="000000" w:themeColor="text1"/>
          <w:sz w:val="30"/>
          <w:szCs w:val="30"/>
          <w:highlight w:val="none"/>
          <w:u w:val="single"/>
          <w14:textFill>
            <w14:solidFill>
              <w14:schemeClr w14:val="tx1"/>
            </w14:solidFill>
          </w14:textFill>
        </w:rPr>
        <w:t xml:space="preserve">       </w:t>
      </w:r>
    </w:p>
    <w:p w14:paraId="034145F3">
      <w:pPr>
        <w:spacing w:line="480" w:lineRule="auto"/>
        <w:ind w:firstLine="1950" w:firstLineChars="650"/>
        <w:rPr>
          <w:rFonts w:ascii="宋体" w:hAnsi="宋体"/>
          <w:color w:val="000000" w:themeColor="text1"/>
          <w:sz w:val="30"/>
          <w:szCs w:val="30"/>
          <w:highlight w:val="none"/>
          <w:u w:val="single"/>
          <w14:textFill>
            <w14:solidFill>
              <w14:schemeClr w14:val="tx1"/>
            </w14:solidFill>
          </w14:textFill>
        </w:rPr>
      </w:pPr>
      <w:r>
        <w:rPr>
          <w:rFonts w:hint="eastAsia" w:ascii="宋体" w:hAnsi="宋体"/>
          <w:color w:val="000000" w:themeColor="text1"/>
          <w:sz w:val="30"/>
          <w:szCs w:val="30"/>
          <w:highlight w:val="none"/>
          <w14:textFill>
            <w14:solidFill>
              <w14:schemeClr w14:val="tx1"/>
            </w14:solidFill>
          </w14:textFill>
        </w:rPr>
        <w:t xml:space="preserve">年级专业  </w:t>
      </w:r>
      <w:r>
        <w:rPr>
          <w:rFonts w:hint="eastAsia" w:ascii="宋体" w:hAnsi="宋体"/>
          <w:color w:val="000000" w:themeColor="text1"/>
          <w:sz w:val="30"/>
          <w:szCs w:val="30"/>
          <w:highlight w:val="none"/>
          <w:u w:val="single"/>
          <w:lang w:val="en-US" w:eastAsia="zh-CN"/>
          <w14:textFill>
            <w14:solidFill>
              <w14:schemeClr w14:val="tx1"/>
            </w14:solidFill>
          </w14:textFill>
        </w:rPr>
        <w:t>23级油气储运工程2班</w:t>
      </w:r>
    </w:p>
    <w:p w14:paraId="2453C7D0">
      <w:pPr>
        <w:spacing w:line="480" w:lineRule="auto"/>
        <w:rPr>
          <w:rFonts w:ascii="宋体" w:hAnsi="宋体"/>
          <w:color w:val="000000" w:themeColor="text1"/>
          <w:sz w:val="30"/>
          <w:szCs w:val="30"/>
          <w:highlight w:val="none"/>
          <w:u w:val="single"/>
          <w14:textFill>
            <w14:solidFill>
              <w14:schemeClr w14:val="tx1"/>
            </w14:solidFill>
          </w14:textFill>
        </w:rPr>
      </w:pPr>
      <w:r>
        <w:rPr>
          <w:rFonts w:hint="eastAsia" w:ascii="宋体" w:hAnsi="宋体"/>
          <w:color w:val="000000" w:themeColor="text1"/>
          <w:sz w:val="30"/>
          <w:szCs w:val="30"/>
          <w:highlight w:val="none"/>
          <w14:textFill>
            <w14:solidFill>
              <w14:schemeClr w14:val="tx1"/>
            </w14:solidFill>
          </w14:textFill>
        </w:rPr>
        <w:t xml:space="preserve">             姓    名  </w:t>
      </w:r>
      <w:r>
        <w:rPr>
          <w:rFonts w:hint="eastAsia" w:ascii="宋体" w:hAnsi="宋体"/>
          <w:color w:val="000000" w:themeColor="text1"/>
          <w:sz w:val="30"/>
          <w:szCs w:val="30"/>
          <w:highlight w:val="none"/>
          <w:u w:val="single"/>
          <w14:textFill>
            <w14:solidFill>
              <w14:schemeClr w14:val="tx1"/>
            </w14:solidFill>
          </w14:textFill>
        </w:rPr>
        <w:t xml:space="preserve">   </w:t>
      </w:r>
      <w:r>
        <w:rPr>
          <w:rFonts w:hint="eastAsia" w:ascii="宋体" w:hAnsi="宋体"/>
          <w:color w:val="000000" w:themeColor="text1"/>
          <w:sz w:val="30"/>
          <w:szCs w:val="30"/>
          <w:highlight w:val="none"/>
          <w:u w:val="single"/>
          <w:lang w:val="en-US" w:eastAsia="zh-CN"/>
          <w14:textFill>
            <w14:solidFill>
              <w14:schemeClr w14:val="tx1"/>
            </w14:solidFill>
          </w14:textFill>
        </w:rPr>
        <w:t xml:space="preserve">   </w:t>
      </w:r>
      <w:r>
        <w:rPr>
          <w:rFonts w:hint="eastAsia" w:ascii="宋体" w:hAnsi="宋体"/>
          <w:color w:val="000000" w:themeColor="text1"/>
          <w:sz w:val="30"/>
          <w:szCs w:val="30"/>
          <w:highlight w:val="none"/>
          <w:u w:val="single"/>
          <w14:textFill>
            <w14:solidFill>
              <w14:schemeClr w14:val="tx1"/>
            </w14:solidFill>
          </w14:textFill>
        </w:rPr>
        <w:t xml:space="preserve"> </w:t>
      </w:r>
      <w:r>
        <w:rPr>
          <w:rFonts w:hint="eastAsia" w:ascii="宋体" w:hAnsi="宋体"/>
          <w:color w:val="000000" w:themeColor="text1"/>
          <w:sz w:val="30"/>
          <w:szCs w:val="30"/>
          <w:highlight w:val="none"/>
          <w:u w:val="single"/>
          <w:lang w:val="en-US" w:eastAsia="zh-CN"/>
          <w14:textFill>
            <w14:solidFill>
              <w14:schemeClr w14:val="tx1"/>
            </w14:solidFill>
          </w14:textFill>
        </w:rPr>
        <w:t>裴慧琳</w:t>
      </w:r>
      <w:r>
        <w:rPr>
          <w:rFonts w:hint="eastAsia" w:ascii="宋体" w:hAnsi="宋体"/>
          <w:color w:val="000000" w:themeColor="text1"/>
          <w:sz w:val="30"/>
          <w:szCs w:val="30"/>
          <w:highlight w:val="none"/>
          <w:u w:val="single"/>
          <w14:textFill>
            <w14:solidFill>
              <w14:schemeClr w14:val="tx1"/>
            </w14:solidFill>
          </w14:textFill>
        </w:rPr>
        <w:t xml:space="preserve">        </w:t>
      </w:r>
    </w:p>
    <w:p w14:paraId="4352ABAB">
      <w:pPr>
        <w:spacing w:line="480" w:lineRule="auto"/>
        <w:ind w:firstLine="1950" w:firstLineChars="650"/>
        <w:rPr>
          <w:rFonts w:ascii="宋体" w:hAnsi="宋体"/>
          <w:color w:val="000000" w:themeColor="text1"/>
          <w:sz w:val="30"/>
          <w:szCs w:val="30"/>
          <w:highlight w:val="none"/>
          <w:u w:val="single"/>
          <w14:textFill>
            <w14:solidFill>
              <w14:schemeClr w14:val="tx1"/>
            </w14:solidFill>
          </w14:textFill>
        </w:rPr>
      </w:pPr>
      <w:r>
        <w:rPr>
          <w:rFonts w:hint="eastAsia" w:ascii="宋体" w:hAnsi="宋体"/>
          <w:color w:val="000000" w:themeColor="text1"/>
          <w:sz w:val="30"/>
          <w:szCs w:val="30"/>
          <w:highlight w:val="none"/>
          <w14:textFill>
            <w14:solidFill>
              <w14:schemeClr w14:val="tx1"/>
            </w14:solidFill>
          </w14:textFill>
        </w:rPr>
        <w:t xml:space="preserve">学    号  </w:t>
      </w:r>
      <w:r>
        <w:rPr>
          <w:rFonts w:hint="eastAsia" w:ascii="宋体" w:hAnsi="宋体"/>
          <w:color w:val="000000" w:themeColor="text1"/>
          <w:sz w:val="30"/>
          <w:szCs w:val="30"/>
          <w:highlight w:val="none"/>
          <w:u w:val="single"/>
          <w14:textFill>
            <w14:solidFill>
              <w14:schemeClr w14:val="tx1"/>
            </w14:solidFill>
          </w14:textFill>
        </w:rPr>
        <w:t xml:space="preserve">     </w:t>
      </w:r>
      <w:r>
        <w:rPr>
          <w:rFonts w:hint="eastAsia" w:ascii="宋体" w:hAnsi="宋体"/>
          <w:color w:val="000000" w:themeColor="text1"/>
          <w:sz w:val="30"/>
          <w:szCs w:val="30"/>
          <w:highlight w:val="none"/>
          <w:u w:val="single"/>
          <w:lang w:val="en-US" w:eastAsia="zh-CN"/>
          <w14:textFill>
            <w14:solidFill>
              <w14:schemeClr w14:val="tx1"/>
            </w14:solidFill>
          </w14:textFill>
        </w:rPr>
        <w:t xml:space="preserve">23104242  </w:t>
      </w:r>
      <w:r>
        <w:rPr>
          <w:rFonts w:hint="eastAsia" w:ascii="宋体" w:hAnsi="宋体"/>
          <w:color w:val="000000" w:themeColor="text1"/>
          <w:sz w:val="30"/>
          <w:szCs w:val="30"/>
          <w:highlight w:val="none"/>
          <w:u w:val="single"/>
          <w14:textFill>
            <w14:solidFill>
              <w14:schemeClr w14:val="tx1"/>
            </w14:solidFill>
          </w14:textFill>
        </w:rPr>
        <w:t xml:space="preserve">      </w:t>
      </w:r>
    </w:p>
    <w:p w14:paraId="6EA67801">
      <w:pPr>
        <w:spacing w:line="480" w:lineRule="auto"/>
        <w:ind w:firstLine="1950" w:firstLineChars="650"/>
        <w:rPr>
          <w:rFonts w:ascii="宋体" w:hAnsi="宋体"/>
          <w:color w:val="000000" w:themeColor="text1"/>
          <w:sz w:val="30"/>
          <w:szCs w:val="30"/>
          <w:highlight w:val="none"/>
          <w:u w:val="single"/>
          <w14:textFill>
            <w14:solidFill>
              <w14:schemeClr w14:val="tx1"/>
            </w14:solidFill>
          </w14:textFill>
        </w:rPr>
      </w:pPr>
      <w:r>
        <w:rPr>
          <w:rFonts w:hint="eastAsia" w:ascii="宋体" w:hAnsi="宋体"/>
          <w:color w:val="000000" w:themeColor="text1"/>
          <w:sz w:val="30"/>
          <w:szCs w:val="30"/>
          <w:highlight w:val="none"/>
          <w14:textFill>
            <w14:solidFill>
              <w14:schemeClr w14:val="tx1"/>
            </w14:solidFill>
          </w14:textFill>
        </w:rPr>
        <w:t xml:space="preserve">指导教师  </w:t>
      </w:r>
      <w:r>
        <w:rPr>
          <w:rFonts w:hint="eastAsia" w:ascii="宋体" w:hAnsi="宋体"/>
          <w:color w:val="000000" w:themeColor="text1"/>
          <w:sz w:val="30"/>
          <w:szCs w:val="30"/>
          <w:highlight w:val="none"/>
          <w:u w:val="single"/>
          <w14:textFill>
            <w14:solidFill>
              <w14:schemeClr w14:val="tx1"/>
            </w14:solidFill>
          </w14:textFill>
        </w:rPr>
        <w:t xml:space="preserve">   </w:t>
      </w:r>
      <w:r>
        <w:rPr>
          <w:rFonts w:hint="eastAsia" w:ascii="宋体" w:hAnsi="宋体"/>
          <w:color w:val="000000" w:themeColor="text1"/>
          <w:sz w:val="30"/>
          <w:szCs w:val="30"/>
          <w:highlight w:val="none"/>
          <w:u w:val="single"/>
          <w:lang w:val="en-US" w:eastAsia="zh-CN"/>
          <w14:textFill>
            <w14:solidFill>
              <w14:schemeClr w14:val="tx1"/>
            </w14:solidFill>
          </w14:textFill>
        </w:rPr>
        <w:t>叶章评  李琦钰</w:t>
      </w:r>
      <w:r>
        <w:rPr>
          <w:rFonts w:hint="eastAsia" w:ascii="宋体" w:hAnsi="宋体"/>
          <w:color w:val="000000" w:themeColor="text1"/>
          <w:sz w:val="30"/>
          <w:szCs w:val="30"/>
          <w:highlight w:val="none"/>
          <w:u w:val="single"/>
          <w14:textFill>
            <w14:solidFill>
              <w14:schemeClr w14:val="tx1"/>
            </w14:solidFill>
          </w14:textFill>
        </w:rPr>
        <w:t xml:space="preserve">  </w:t>
      </w:r>
      <w:r>
        <w:rPr>
          <w:rFonts w:hint="eastAsia" w:ascii="宋体" w:hAnsi="宋体"/>
          <w:color w:val="000000" w:themeColor="text1"/>
          <w:sz w:val="30"/>
          <w:szCs w:val="30"/>
          <w:highlight w:val="none"/>
          <w:u w:val="single"/>
          <w:lang w:val="en-US" w:eastAsia="zh-CN"/>
          <w14:textFill>
            <w14:solidFill>
              <w14:schemeClr w14:val="tx1"/>
            </w14:solidFill>
          </w14:textFill>
        </w:rPr>
        <w:t xml:space="preserve"> </w:t>
      </w:r>
      <w:r>
        <w:rPr>
          <w:rFonts w:hint="eastAsia" w:ascii="宋体" w:hAnsi="宋体"/>
          <w:color w:val="000000" w:themeColor="text1"/>
          <w:sz w:val="30"/>
          <w:szCs w:val="30"/>
          <w:highlight w:val="none"/>
          <w:u w:val="single"/>
          <w14:textFill>
            <w14:solidFill>
              <w14:schemeClr w14:val="tx1"/>
            </w14:solidFill>
          </w14:textFill>
        </w:rPr>
        <w:t xml:space="preserve"> </w:t>
      </w:r>
    </w:p>
    <w:p w14:paraId="3FCCC77D">
      <w:pPr>
        <w:spacing w:line="480" w:lineRule="auto"/>
        <w:ind w:firstLine="1950" w:firstLineChars="650"/>
        <w:rPr>
          <w:rFonts w:ascii="宋体" w:hAnsi="宋体"/>
          <w:color w:val="000000" w:themeColor="text1"/>
          <w:sz w:val="30"/>
          <w:szCs w:val="30"/>
          <w:highlight w:val="none"/>
          <w:u w:val="single"/>
          <w14:textFill>
            <w14:solidFill>
              <w14:schemeClr w14:val="tx1"/>
            </w14:solidFill>
          </w14:textFill>
        </w:rPr>
      </w:pPr>
      <w:r>
        <w:rPr>
          <w:rFonts w:hint="eastAsia" w:ascii="宋体" w:hAnsi="宋体"/>
          <w:color w:val="000000" w:themeColor="text1"/>
          <w:sz w:val="30"/>
          <w:szCs w:val="30"/>
          <w:highlight w:val="none"/>
          <w14:textFill>
            <w14:solidFill>
              <w14:schemeClr w14:val="tx1"/>
            </w14:solidFill>
          </w14:textFill>
        </w:rPr>
        <w:t xml:space="preserve">职    称  </w:t>
      </w:r>
      <w:r>
        <w:rPr>
          <w:rFonts w:hint="eastAsia" w:ascii="宋体" w:hAnsi="宋体"/>
          <w:color w:val="000000" w:themeColor="text1"/>
          <w:sz w:val="30"/>
          <w:szCs w:val="30"/>
          <w:highlight w:val="none"/>
          <w:u w:val="single"/>
          <w14:textFill>
            <w14:solidFill>
              <w14:schemeClr w14:val="tx1"/>
            </w14:solidFill>
          </w14:textFill>
        </w:rPr>
        <w:t xml:space="preserve">  </w:t>
      </w:r>
      <w:r>
        <w:rPr>
          <w:rFonts w:hint="eastAsia" w:ascii="宋体" w:hAnsi="宋体"/>
          <w:color w:val="000000" w:themeColor="text1"/>
          <w:sz w:val="30"/>
          <w:szCs w:val="30"/>
          <w:highlight w:val="none"/>
          <w:u w:val="single"/>
          <w:lang w:val="en-US" w:eastAsia="zh-CN"/>
          <w14:textFill>
            <w14:solidFill>
              <w14:schemeClr w14:val="tx1"/>
            </w14:solidFill>
          </w14:textFill>
        </w:rPr>
        <w:t>高级工程师 助教</w:t>
      </w:r>
      <w:r>
        <w:rPr>
          <w:rFonts w:hint="eastAsia" w:ascii="宋体" w:hAnsi="宋体"/>
          <w:color w:val="000000" w:themeColor="text1"/>
          <w:sz w:val="30"/>
          <w:szCs w:val="30"/>
          <w:highlight w:val="none"/>
          <w:u w:val="single"/>
          <w14:textFill>
            <w14:solidFill>
              <w14:schemeClr w14:val="tx1"/>
            </w14:solidFill>
          </w14:textFill>
        </w:rPr>
        <w:t xml:space="preserve">    </w:t>
      </w:r>
    </w:p>
    <w:p w14:paraId="1AE1EB37">
      <w:pPr>
        <w:spacing w:line="480" w:lineRule="auto"/>
        <w:ind w:firstLine="1950" w:firstLineChars="650"/>
        <w:rPr>
          <w:rFonts w:ascii="宋体" w:hAnsi="宋体"/>
          <w:color w:val="000000" w:themeColor="text1"/>
          <w:sz w:val="30"/>
          <w:szCs w:val="30"/>
          <w:highlight w:val="none"/>
          <w:u w:val="single"/>
          <w14:textFill>
            <w14:solidFill>
              <w14:schemeClr w14:val="tx1"/>
            </w14:solidFill>
          </w14:textFill>
        </w:rPr>
      </w:pPr>
      <w:r>
        <w:rPr>
          <w:rFonts w:hint="eastAsia" w:ascii="宋体" w:hAnsi="宋体"/>
          <w:color w:val="000000" w:themeColor="text1"/>
          <w:sz w:val="30"/>
          <w:szCs w:val="30"/>
          <w:highlight w:val="none"/>
          <w14:textFill>
            <w14:solidFill>
              <w14:schemeClr w14:val="tx1"/>
            </w14:solidFill>
          </w14:textFill>
        </w:rPr>
        <w:t xml:space="preserve">开题时间  </w:t>
      </w:r>
      <w:r>
        <w:rPr>
          <w:rFonts w:hint="eastAsia" w:ascii="宋体" w:hAnsi="宋体"/>
          <w:color w:val="000000" w:themeColor="text1"/>
          <w:sz w:val="30"/>
          <w:szCs w:val="30"/>
          <w:highlight w:val="none"/>
          <w:u w:val="single"/>
          <w14:textFill>
            <w14:solidFill>
              <w14:schemeClr w14:val="tx1"/>
            </w14:solidFill>
          </w14:textFill>
        </w:rPr>
        <w:t xml:space="preserve"> </w:t>
      </w:r>
      <w:r>
        <w:rPr>
          <w:rFonts w:hint="eastAsia" w:ascii="宋体" w:hAnsi="宋体"/>
          <w:color w:val="000000" w:themeColor="text1"/>
          <w:sz w:val="30"/>
          <w:szCs w:val="30"/>
          <w:highlight w:val="none"/>
          <w:u w:val="single"/>
          <w:lang w:val="en-US" w:eastAsia="zh-CN"/>
          <w14:textFill>
            <w14:solidFill>
              <w14:schemeClr w14:val="tx1"/>
            </w14:solidFill>
          </w14:textFill>
        </w:rPr>
        <w:t xml:space="preserve"> 2026年7月13日</w:t>
      </w:r>
      <w:r>
        <w:rPr>
          <w:rFonts w:hint="eastAsia" w:ascii="宋体" w:hAnsi="宋体"/>
          <w:color w:val="000000" w:themeColor="text1"/>
          <w:sz w:val="30"/>
          <w:szCs w:val="30"/>
          <w:highlight w:val="none"/>
          <w:u w:val="single"/>
          <w14:textFill>
            <w14:solidFill>
              <w14:schemeClr w14:val="tx1"/>
            </w14:solidFill>
          </w14:textFill>
        </w:rPr>
        <w:t xml:space="preserve">    </w:t>
      </w:r>
    </w:p>
    <w:p w14:paraId="2996757F">
      <w:pPr>
        <w:widowControl/>
        <w:autoSpaceDE/>
        <w:autoSpaceDN/>
        <w:rPr>
          <w:rFonts w:ascii="宋体" w:hAnsi="宋体"/>
          <w:color w:val="000000" w:themeColor="text1"/>
          <w:sz w:val="30"/>
          <w:szCs w:val="30"/>
          <w:highlight w:val="none"/>
          <w:u w:val="single"/>
          <w14:textFill>
            <w14:solidFill>
              <w14:schemeClr w14:val="tx1"/>
            </w14:solidFill>
          </w14:textFill>
        </w:rPr>
      </w:pPr>
    </w:p>
    <w:p w14:paraId="0BFB9477">
      <w:pPr>
        <w:widowControl/>
        <w:autoSpaceDE/>
        <w:autoSpaceDN/>
        <w:rPr>
          <w:rFonts w:ascii="宋体" w:hAnsi="宋体"/>
          <w:color w:val="000000" w:themeColor="text1"/>
          <w:sz w:val="30"/>
          <w:szCs w:val="30"/>
          <w:highlight w:val="none"/>
          <w:u w:val="single"/>
          <w14:textFill>
            <w14:solidFill>
              <w14:schemeClr w14:val="tx1"/>
            </w14:solidFill>
          </w14:textFill>
        </w:rPr>
      </w:pPr>
    </w:p>
    <w:p w14:paraId="2599E6BD">
      <w:pPr>
        <w:widowControl/>
        <w:autoSpaceDE/>
        <w:autoSpaceDN/>
        <w:rPr>
          <w:rFonts w:ascii="宋体" w:hAnsi="宋体"/>
          <w:color w:val="000000" w:themeColor="text1"/>
          <w:sz w:val="30"/>
          <w:szCs w:val="30"/>
          <w:highlight w:val="none"/>
          <w:u w:val="single"/>
          <w14:textFill>
            <w14:solidFill>
              <w14:schemeClr w14:val="tx1"/>
            </w14:solidFill>
          </w14:textFill>
        </w:rPr>
      </w:pPr>
    </w:p>
    <w:p w14:paraId="7F2DB5B5">
      <w:pPr>
        <w:widowControl/>
        <w:autoSpaceDE/>
        <w:autoSpaceDN/>
        <w:rPr>
          <w:rFonts w:ascii="宋体" w:hAnsi="宋体"/>
          <w:color w:val="000000" w:themeColor="text1"/>
          <w:sz w:val="30"/>
          <w:szCs w:val="30"/>
          <w:highlight w:val="none"/>
          <w:u w:val="single"/>
          <w14:textFill>
            <w14:solidFill>
              <w14:schemeClr w14:val="tx1"/>
            </w14:solidFill>
          </w14:textFill>
        </w:rPr>
      </w:pPr>
    </w:p>
    <w:p w14:paraId="21E9B051">
      <w:pPr>
        <w:widowControl/>
        <w:autoSpaceDE/>
        <w:autoSpaceDN/>
        <w:rPr>
          <w:rFonts w:ascii="宋体" w:hAnsi="宋体"/>
          <w:color w:val="000000" w:themeColor="text1"/>
          <w:sz w:val="30"/>
          <w:szCs w:val="30"/>
          <w:highlight w:val="none"/>
          <w:u w:val="single"/>
          <w14:textFill>
            <w14:solidFill>
              <w14:schemeClr w14:val="tx1"/>
            </w14:solidFill>
          </w14:textFill>
        </w:rPr>
      </w:pPr>
    </w:p>
    <w:p w14:paraId="3D7E3ECB">
      <w:pPr>
        <w:widowControl/>
        <w:autoSpaceDE/>
        <w:autoSpaceDN/>
        <w:rPr>
          <w:rFonts w:ascii="宋体" w:hAnsi="宋体"/>
          <w:color w:val="000000" w:themeColor="text1"/>
          <w:sz w:val="30"/>
          <w:szCs w:val="30"/>
          <w:highlight w:val="none"/>
          <w:u w:val="single"/>
          <w14:textFill>
            <w14:solidFill>
              <w14:schemeClr w14:val="tx1"/>
            </w14:solidFill>
          </w14:textFill>
        </w:rPr>
      </w:pPr>
    </w:p>
    <w:p w14:paraId="11379F9A">
      <w:pPr>
        <w:widowControl/>
        <w:autoSpaceDE/>
        <w:autoSpaceDN/>
        <w:rPr>
          <w:rFonts w:ascii="宋体" w:hAnsi="宋体"/>
          <w:color w:val="000000" w:themeColor="text1"/>
          <w:sz w:val="30"/>
          <w:szCs w:val="30"/>
          <w:highlight w:val="none"/>
          <w:u w:val="single"/>
          <w14:textFill>
            <w14:solidFill>
              <w14:schemeClr w14:val="tx1"/>
            </w14:solidFill>
          </w14:textFill>
        </w:rPr>
      </w:pPr>
    </w:p>
    <w:tbl>
      <w:tblPr>
        <w:tblStyle w:val="16"/>
        <w:tblW w:w="1726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634"/>
        <w:gridCol w:w="8634"/>
      </w:tblGrid>
      <w:tr w14:paraId="506C7A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63" w:hRule="atLeast"/>
        </w:trPr>
        <w:tc>
          <w:tcPr>
            <w:tcW w:w="8634" w:type="dxa"/>
            <w:shd w:val="clear" w:color="auto" w:fill="auto"/>
            <w:vAlign w:val="top"/>
          </w:tcPr>
          <w:p>
            <w:pPr>
              <w:numPr>
                <w:ilvl w:val="0"/>
                <w:numId w:val="0"/>
              </w:numPr>
              <w:spacing w:line="480" w:lineRule="auto"/>
              <w:ind w:leftChars="0"/>
              <w:rPr>
                <w:rFonts w:hint="eastAsia" w:asciiTheme="minorEastAsia" w:hAnsiTheme="minorEastAsia" w:eastAsiaTheme="minorEastAsia" w:cstheme="minorEastAsia"/>
                <w:color w:val="000000" w:themeColor="text1"/>
                <w:sz w:val="24"/>
                <w:szCs w:val="24"/>
                <w:highlight w:val="none"/>
                <w14:textFill>
                  <w14:solidFill>
                    <w14:schemeClr w14:val="tx1"/>
                  </w14:solidFill>
                </w14:textFill>
              </w:rPr>
            </w:pPr>
            <w:r>
              <w:rPr>
                <w:rFonts w:hint="eastAsia" w:asciiTheme="minorEastAsia" w:hAnsiTheme="minorEastAsia" w:eastAsiaTheme="minorEastAsia" w:cstheme="minorEastAsia"/>
                <w:color w:val="000000" w:themeColor="text1"/>
                <w:sz w:val="24"/>
                <w:szCs w:val="24"/>
                <w:highlight w:val="none"/>
                <w:lang w:val="en-US" w:eastAsia="zh-CN"/>
                <w14:textFill>
                  <w14:solidFill>
                    <w14:schemeClr w14:val="tx1"/>
                  </w14:solidFill>
                </w14:textFill>
              </w:rPr>
              <w:t>1.设计背景与目标</w:t>
            </w:r>
          </w:p>
          <w:p>
            <w:pPr>
              <w:pStyle w:val="23"/>
              <w:ind w:left="0" w:leftChars="0" w:firstLine="0" w:firstLineChars="0"/>
              <w:rPr>
                <w:rFonts w:hint="eastAsia" w:asciiTheme="minorEastAsia" w:hAnsiTheme="minorEastAsia" w:cstheme="minorEastAsia"/>
                <w:color w:val="000000" w:themeColor="text1"/>
                <w:sz w:val="24"/>
                <w:szCs w:val="24"/>
                <w:highlight w:val="none"/>
                <w:lang w:val="en-US" w:eastAsia="zh-CN"/>
                <w14:textFill>
                  <w14:solidFill>
                    <w14:schemeClr w14:val="tx1"/>
                  </w14:solidFill>
                </w14:textFill>
              </w:rPr>
            </w:pPr>
            <w:r>
              <w:rPr>
                <w:rFonts w:hint="eastAsia" w:asciiTheme="minorEastAsia" w:hAnsiTheme="minorEastAsia" w:cstheme="minorEastAsia"/>
                <w:color w:val="000000" w:themeColor="text1"/>
                <w:sz w:val="24"/>
                <w:szCs w:val="24"/>
                <w:highlight w:val="none"/>
                <w:lang w:val="en-US" w:eastAsia="zh-CN"/>
                <w14:textFill>
                  <w14:solidFill>
                    <w14:schemeClr w14:val="tx1"/>
                  </w14:solidFill>
                </w14:textFill>
              </w:rPr>
              <w:t>一、设计背景</w:t>
            </w:r>
          </w:p>
          <w:p>
            <w:pPr>
              <w:pStyle w:val="23"/>
              <w:keepNext w:val="0"/>
              <w:keepLines w:val="0"/>
              <w:pageBreakBefore w:val="0"/>
              <w:widowControl w:val="0"/>
              <w:kinsoku/>
              <w:wordWrap/>
              <w:overflowPunct/>
              <w:topLinePunct w:val="0"/>
              <w:autoSpaceDE/>
              <w:autoSpaceDN/>
              <w:bidi w:val="0"/>
              <w:adjustRightInd/>
              <w:snapToGrid/>
              <w:spacing w:after="0" w:line="360" w:lineRule="auto"/>
              <w:ind w:left="0" w:leftChars="0" w:firstLine="480" w:firstLineChars="200"/>
              <w:textAlignment w:val="auto"/>
              <w:rPr>
                <w:rFonts w:hint="default" w:asciiTheme="minorEastAsia" w:hAnsiTheme="minorEastAsia" w:cstheme="minorEastAsia"/>
                <w:color w:val="000000" w:themeColor="text1"/>
                <w:sz w:val="24"/>
                <w:szCs w:val="24"/>
                <w:highlight w:val="none"/>
                <w:lang w:val="en-US" w:eastAsia="zh-CN"/>
                <w14:textFill>
                  <w14:solidFill>
                    <w14:schemeClr w14:val="tx1"/>
                  </w14:solidFill>
                </w14:textFill>
              </w:rPr>
            </w:pPr>
            <w:r>
              <w:rPr>
                <w:rFonts w:hint="eastAsia" w:asciiTheme="minorEastAsia" w:hAnsiTheme="minorEastAsia" w:cstheme="minorEastAsia"/>
                <w:color w:val="000000" w:themeColor="text1"/>
                <w:sz w:val="24"/>
                <w:szCs w:val="24"/>
                <w:highlight w:val="none"/>
                <w:lang w:val="en-US" w:eastAsia="zh-CN"/>
                <w14:textFill>
                  <w14:solidFill>
                    <w14:schemeClr w14:val="tx1"/>
                  </w14:solidFill>
                </w14:textFill>
              </w:rPr>
              <w:t>成品油油库是连接炼化企业、长输管道与区域终端市场的重要储运节点，承担油品接收、分质储存、中转调度和外发配送等任务。随着成品油消费结构和配送方式变化，油库不仅需要保证规定周转量下的连续收发油能力，还需同时满足油品质量控制、设备运行安全、挥发性有机物治理及事故状态下应急处置等要求。储罐、输油管道、泵组、公路装车设施、消防系统和自动控制系统之间具有明显的关联性，任何环节的能力不足或布置不当，均可能造成收发油受阻、油品混入、储罐溢流、管道超压、油气逸散或火灾爆炸风险。因此，成品油库设计必须以确定的周转任务为基础，对库容、总平面、工艺流程、设备能力和安全设施进行整体计算与协调。</w:t>
            </w:r>
          </w:p>
          <w:p>
            <w:pPr>
              <w:pStyle w:val="23"/>
              <w:keepNext w:val="0"/>
              <w:keepLines w:val="0"/>
              <w:pageBreakBefore w:val="0"/>
              <w:widowControl w:val="0"/>
              <w:kinsoku/>
              <w:wordWrap/>
              <w:overflowPunct/>
              <w:topLinePunct w:val="0"/>
              <w:autoSpaceDE/>
              <w:autoSpaceDN/>
              <w:bidi w:val="0"/>
              <w:adjustRightInd/>
              <w:snapToGrid/>
              <w:spacing w:after="0" w:line="360" w:lineRule="auto"/>
              <w:ind w:left="0" w:leftChars="0" w:firstLine="480" w:firstLineChars="200"/>
              <w:textAlignment w:val="auto"/>
              <w:rPr>
                <w:rFonts w:hint="default" w:asciiTheme="minorEastAsia" w:hAnsiTheme="minorEastAsia" w:cstheme="minorEastAsia"/>
                <w:color w:val="000000" w:themeColor="text1"/>
                <w:sz w:val="24"/>
                <w:szCs w:val="24"/>
                <w:highlight w:val="none"/>
                <w:lang w:val="en-US" w:eastAsia="zh-CN"/>
                <w14:textFill>
                  <w14:solidFill>
                    <w14:schemeClr w14:val="tx1"/>
                  </w14:solidFill>
                </w14:textFill>
              </w:rPr>
            </w:pPr>
            <w:r>
              <w:rPr>
                <w:rFonts w:hint="eastAsia" w:asciiTheme="minorEastAsia" w:hAnsiTheme="minorEastAsia" w:cstheme="minorEastAsia"/>
                <w:color w:val="000000" w:themeColor="text1"/>
                <w:sz w:val="24"/>
                <w:szCs w:val="24"/>
                <w:highlight w:val="none"/>
                <w:lang w:val="en-US" w:eastAsia="zh-CN"/>
                <w14:textFill>
                  <w14:solidFill>
                    <w14:schemeClr w14:val="tx1"/>
                  </w14:solidFill>
                </w14:textFill>
              </w:rPr>
              <w:t>本设计对象为广州市黄埔区黄埔东路旁拟建成品油库，主要储运92号汽油、95号汽油和0号柴油，三种油品年周转量分别为12×10⁴ t/a、8×10⁴ t/a和10×10⁴ t/a。油品均采用管道进库，出库采用管道运输与公路运输相结合的方式。建设场地位于华南湿热多雨地区，年平均气温22.6 ℃，绝对最高气温39 ℃，绝对最低气温1.8 ℃，年平均降雨量2240 mm，日最大降雨量346 mm，最大风速32.8 m/s。上述条件决定了库区设计除满足一般成品油储运要求外，还应重视强降雨条件下的竖向排水和事故水收集、湿热环境中的设备与管道防腐、风荷载作用下储罐稳定以及雷电和静电风险控制。黄埔东路仅承担库外交通联系，油罐车运输应设置独立进出通道，避免与行政办公人员通行路线交叉；库内工艺管线、消防道路和排水系统应在用地范围内独立组织。</w:t>
            </w:r>
          </w:p>
          <w:p>
            <w:pPr>
              <w:pStyle w:val="23"/>
              <w:keepNext w:val="0"/>
              <w:keepLines w:val="0"/>
              <w:pageBreakBefore w:val="0"/>
              <w:widowControl w:val="0"/>
              <w:kinsoku/>
              <w:wordWrap/>
              <w:overflowPunct/>
              <w:topLinePunct w:val="0"/>
              <w:autoSpaceDE/>
              <w:autoSpaceDN/>
              <w:bidi w:val="0"/>
              <w:adjustRightInd/>
              <w:snapToGrid/>
              <w:spacing w:after="0" w:line="360" w:lineRule="auto"/>
              <w:ind w:left="0" w:leftChars="0" w:firstLine="480" w:firstLineChars="200"/>
              <w:textAlignment w:val="auto"/>
              <w:rPr>
                <w:rFonts w:hint="default" w:asciiTheme="minorEastAsia" w:hAnsiTheme="minorEastAsia" w:cstheme="minorEastAsia"/>
                <w:color w:val="000000" w:themeColor="text1"/>
                <w:sz w:val="24"/>
                <w:szCs w:val="24"/>
                <w:highlight w:val="none"/>
                <w:lang w:val="en-US" w:eastAsia="zh-CN"/>
                <w14:textFill>
                  <w14:solidFill>
                    <w14:schemeClr w14:val="tx1"/>
                  </w14:solidFill>
                </w14:textFill>
              </w:rPr>
            </w:pPr>
            <w:r>
              <w:rPr>
                <w:rFonts w:hint="eastAsia" w:asciiTheme="minorEastAsia" w:hAnsiTheme="minorEastAsia" w:cstheme="minorEastAsia"/>
                <w:color w:val="000000" w:themeColor="text1"/>
                <w:sz w:val="24"/>
                <w:szCs w:val="24"/>
                <w:highlight w:val="none"/>
                <w:lang w:val="en-US" w:eastAsia="zh-CN"/>
                <w14:textFill>
                  <w14:solidFill>
                    <w14:schemeClr w14:val="tx1"/>
                  </w14:solidFill>
                </w14:textFill>
              </w:rPr>
              <w:t>国内成品油库工程已形成以现行国家标准为基础的设计体系，工程实践重点由单一储存功能逐步转向管道接收、自动计量、分质储存、密闭装车、油气回收和安全联锁的系统集成。储罐选型方面，汽油普遍采用内浮顶结构控制蒸发损耗，柴油通常采用固定顶结构；收发油方面，管道密闭输送、罐车底部装车、定量装车控制及油气集中回收已成为新建油库的主要工艺形式。自动化系统由单纯液位显示发展为液位、温度、压力、流量、阀位和可燃气体浓度的集中监控，并通过高高液位、静电接地、防溢流和紧急切断等联锁降低误操作风险。国内在大型储罐设计、管道配套油库建设、定量装车和常规油气回收等方面已具备较成熟的工程应用基础，但中小型油库仍存在系统能力匹配不充分、不同油品管路隔离不彻底、事故排水与含油污水收集衔接不足以及设备运行数据利用程度不高等问题。</w:t>
            </w:r>
          </w:p>
          <w:p>
            <w:pPr>
              <w:pStyle w:val="23"/>
              <w:keepNext w:val="0"/>
              <w:keepLines w:val="0"/>
              <w:pageBreakBefore w:val="0"/>
              <w:widowControl w:val="0"/>
              <w:kinsoku/>
              <w:wordWrap/>
              <w:overflowPunct/>
              <w:topLinePunct w:val="0"/>
              <w:autoSpaceDE/>
              <w:autoSpaceDN/>
              <w:bidi w:val="0"/>
              <w:adjustRightInd/>
              <w:snapToGrid/>
              <w:spacing w:after="0" w:line="360" w:lineRule="auto"/>
              <w:ind w:left="0" w:leftChars="0" w:firstLine="480" w:firstLineChars="200"/>
              <w:textAlignment w:val="auto"/>
              <w:rPr>
                <w:rFonts w:hint="default" w:asciiTheme="minorEastAsia" w:hAnsiTheme="minorEastAsia" w:cstheme="minorEastAsia"/>
                <w:color w:val="000000" w:themeColor="text1"/>
                <w:sz w:val="24"/>
                <w:szCs w:val="24"/>
                <w:highlight w:val="none"/>
                <w:lang w:val="en-US" w:eastAsia="zh-CN"/>
                <w14:textFill>
                  <w14:solidFill>
                    <w14:schemeClr w14:val="tx1"/>
                  </w14:solidFill>
                </w14:textFill>
              </w:rPr>
            </w:pPr>
            <w:r>
              <w:rPr>
                <w:rFonts w:hint="eastAsia" w:asciiTheme="minorEastAsia" w:hAnsiTheme="minorEastAsia" w:cstheme="minorEastAsia"/>
                <w:color w:val="000000" w:themeColor="text1"/>
                <w:sz w:val="24"/>
                <w:szCs w:val="24"/>
                <w:highlight w:val="none"/>
                <w:lang w:val="en-US" w:eastAsia="zh-CN"/>
                <w14:textFill>
                  <w14:solidFill>
                    <w14:schemeClr w14:val="tx1"/>
                  </w14:solidFill>
                </w14:textFill>
              </w:rPr>
              <w:t>国外油库设计较早采用全过程工艺安全管理理念，强调从规划、设计、施工到运行维护的连续风险控制。相关工程通常将定量风险分析、储罐完整性管理、在线泄漏检测、预测性维护和数字化调度纳入油库全寿命周期；在装卸环节普遍采用密闭底部装车和油气回收，在储罐及管网运行中重视独立保护层、失效安全切断和异常工况记录。国外储罐和消防标准体系在结构计算、通气泄压、液体危险性分类及防火保护方面形成了较完整的方法。但国外标准的危险性分类、设计荷载和安全间距取值与我国现行标准并不完全一致，不能直接替代国内规范。对本项目而言，可借鉴其全生命周期管理、密闭装卸、状态监测和风险分级控制思路，同时以我国现行国家标准和项目实际周转任务作为设计依据。</w:t>
            </w:r>
          </w:p>
          <w:p>
            <w:pPr>
              <w:pStyle w:val="23"/>
              <w:keepNext w:val="0"/>
              <w:keepLines w:val="0"/>
              <w:pageBreakBefore w:val="0"/>
              <w:widowControl w:val="0"/>
              <w:kinsoku/>
              <w:wordWrap/>
              <w:overflowPunct/>
              <w:topLinePunct w:val="0"/>
              <w:autoSpaceDE/>
              <w:autoSpaceDN/>
              <w:bidi w:val="0"/>
              <w:adjustRightInd/>
              <w:snapToGrid/>
              <w:spacing w:after="0" w:line="360" w:lineRule="auto"/>
              <w:ind w:left="0" w:leftChars="0" w:firstLine="480" w:firstLineChars="200"/>
              <w:textAlignment w:val="auto"/>
              <w:rPr>
                <w:rFonts w:hint="default" w:asciiTheme="minorEastAsia" w:hAnsiTheme="minorEastAsia" w:cstheme="minorEastAsia"/>
                <w:color w:val="000000" w:themeColor="text1"/>
                <w:sz w:val="24"/>
                <w:szCs w:val="24"/>
                <w:highlight w:val="none"/>
                <w:lang w:val="en-US" w:eastAsia="zh-CN"/>
                <w14:textFill>
                  <w14:solidFill>
                    <w14:schemeClr w14:val="tx1"/>
                  </w14:solidFill>
                </w14:textFill>
              </w:rPr>
            </w:pPr>
            <w:r>
              <w:rPr>
                <w:rFonts w:hint="eastAsia" w:asciiTheme="minorEastAsia" w:hAnsiTheme="minorEastAsia" w:cstheme="minorEastAsia"/>
                <w:color w:val="000000" w:themeColor="text1"/>
                <w:sz w:val="24"/>
                <w:szCs w:val="24"/>
                <w:highlight w:val="none"/>
                <w:lang w:val="en-US" w:eastAsia="zh-CN"/>
                <w14:textFill>
                  <w14:solidFill>
                    <w14:schemeClr w14:val="tx1"/>
                  </w14:solidFill>
                </w14:textFill>
              </w:rPr>
              <w:t>综合国内外技术发展情况，成品油库设计的重点已由单项设备配置转变为工艺、安全、环保和自动控制的协同设计。本项目的切入点不是单纯扩大库容，而是在确定的年周转量、管道进库和两种出库方式条件下，建立油品独立储运、设备能力相互匹配、异常工况可联锁切断、事故介质可控制收集的完整系统。设计同时结合广州地区气候条件和黄埔东路旁场地交通条件，对储罐配置、车辆流线、库区排水、油气回收和消防保障进行针对性处理，使方案具有明确的工程边界和地域适应性。</w:t>
            </w:r>
          </w:p>
          <w:p>
            <w:pPr>
              <w:pStyle w:val="23"/>
              <w:ind w:left="0" w:leftChars="0" w:firstLine="0" w:firstLineChars="0"/>
              <w:rPr>
                <w:rFonts w:hint="eastAsia" w:asciiTheme="minorEastAsia" w:hAnsiTheme="minorEastAsia" w:cstheme="minorEastAsia"/>
                <w:color w:val="000000" w:themeColor="text1"/>
                <w:sz w:val="24"/>
                <w:szCs w:val="24"/>
                <w:highlight w:val="none"/>
                <w:lang w:val="en-US" w:eastAsia="zh-CN"/>
                <w14:textFill>
                  <w14:solidFill>
                    <w14:schemeClr w14:val="tx1"/>
                  </w14:solidFill>
                </w14:textFill>
              </w:rPr>
            </w:pPr>
            <w:r>
              <w:rPr>
                <w:rFonts w:hint="eastAsia" w:asciiTheme="minorEastAsia" w:hAnsiTheme="minorEastAsia" w:cstheme="minorEastAsia"/>
                <w:color w:val="000000" w:themeColor="text1"/>
                <w:sz w:val="24"/>
                <w:szCs w:val="24"/>
                <w:highlight w:val="none"/>
                <w:lang w:val="en-US" w:eastAsia="zh-CN"/>
                <w14:textFill>
                  <w14:solidFill>
                    <w14:schemeClr w14:val="tx1"/>
                  </w14:solidFill>
                </w14:textFill>
              </w:rPr>
              <w:t>二、需要解决的现实问题</w:t>
            </w:r>
          </w:p>
          <w:p>
            <w:pPr>
              <w:pStyle w:val="23"/>
              <w:keepNext w:val="0"/>
              <w:keepLines w:val="0"/>
              <w:pageBreakBefore w:val="0"/>
              <w:widowControl w:val="0"/>
              <w:kinsoku/>
              <w:wordWrap/>
              <w:overflowPunct/>
              <w:topLinePunct w:val="0"/>
              <w:autoSpaceDE/>
              <w:autoSpaceDN/>
              <w:bidi w:val="0"/>
              <w:adjustRightInd/>
              <w:snapToGrid/>
              <w:spacing w:after="0" w:line="360" w:lineRule="auto"/>
              <w:ind w:left="0" w:leftChars="0" w:firstLine="480" w:firstLineChars="200"/>
              <w:textAlignment w:val="auto"/>
              <w:rPr>
                <w:rFonts w:hint="default" w:asciiTheme="minorEastAsia" w:hAnsiTheme="minorEastAsia" w:cstheme="minorEastAsia"/>
                <w:color w:val="000000" w:themeColor="text1"/>
                <w:sz w:val="24"/>
                <w:szCs w:val="24"/>
                <w:highlight w:val="none"/>
                <w:lang w:val="en-US" w:eastAsia="zh-CN"/>
                <w14:textFill>
                  <w14:solidFill>
                    <w14:schemeClr w14:val="tx1"/>
                  </w14:solidFill>
                </w14:textFill>
              </w:rPr>
            </w:pPr>
            <w:r>
              <w:rPr>
                <w:rFonts w:hint="eastAsia" w:asciiTheme="minorEastAsia" w:hAnsiTheme="minorEastAsia" w:cstheme="minorEastAsia"/>
                <w:color w:val="000000" w:themeColor="text1"/>
                <w:sz w:val="24"/>
                <w:szCs w:val="24"/>
                <w:highlight w:val="none"/>
                <w:lang w:val="en-US" w:eastAsia="zh-CN"/>
                <w14:textFill>
                  <w14:solidFill>
                    <w14:schemeClr w14:val="tx1"/>
                  </w14:solidFill>
                </w14:textFill>
              </w:rPr>
              <w:t>本项目首先需要解决三种油品年周转量不同而造成的储存能力配置问题。若仅按总周转量统一确定罐容，容易出现某一油品储罐不足而其他油品储罐闲置，且不利于不同牌号汽油和柴油的质量隔离。因此，应分别依据92号汽油、95号汽油和0号柴油的年周转量、密度、年周转系数及储罐利用系数计算所需库容，再确定各油品储罐数量、罐型和工作容积，并按火灾危险性折算计算总容量和油库等级。</w:t>
            </w:r>
          </w:p>
          <w:p>
            <w:pPr>
              <w:pStyle w:val="23"/>
              <w:keepNext w:val="0"/>
              <w:keepLines w:val="0"/>
              <w:pageBreakBefore w:val="0"/>
              <w:widowControl w:val="0"/>
              <w:kinsoku/>
              <w:wordWrap/>
              <w:overflowPunct/>
              <w:topLinePunct w:val="0"/>
              <w:autoSpaceDE/>
              <w:autoSpaceDN/>
              <w:bidi w:val="0"/>
              <w:adjustRightInd/>
              <w:snapToGrid/>
              <w:spacing w:after="0" w:line="360" w:lineRule="auto"/>
              <w:ind w:left="0" w:leftChars="0" w:firstLine="480" w:firstLineChars="200"/>
              <w:textAlignment w:val="auto"/>
              <w:rPr>
                <w:rFonts w:hint="default" w:asciiTheme="minorEastAsia" w:hAnsiTheme="minorEastAsia" w:cstheme="minorEastAsia"/>
                <w:color w:val="000000" w:themeColor="text1"/>
                <w:sz w:val="24"/>
                <w:szCs w:val="24"/>
                <w:highlight w:val="none"/>
                <w:lang w:val="en-US" w:eastAsia="zh-CN"/>
                <w14:textFill>
                  <w14:solidFill>
                    <w14:schemeClr w14:val="tx1"/>
                  </w14:solidFill>
                </w14:textFill>
              </w:rPr>
            </w:pPr>
            <w:r>
              <w:rPr>
                <w:rFonts w:hint="eastAsia" w:asciiTheme="minorEastAsia" w:hAnsiTheme="minorEastAsia" w:cstheme="minorEastAsia"/>
                <w:color w:val="000000" w:themeColor="text1"/>
                <w:sz w:val="24"/>
                <w:szCs w:val="24"/>
                <w:highlight w:val="none"/>
                <w:lang w:val="en-US" w:eastAsia="zh-CN"/>
                <w14:textFill>
                  <w14:solidFill>
                    <w14:schemeClr w14:val="tx1"/>
                  </w14:solidFill>
                </w14:textFill>
              </w:rPr>
              <w:t>其次需要解决管道连续收油、管输发油与公路装车并存时的流程衔接和能力匹配问题。三种油品必须设置独立储罐、管线和泵组，收油、发油、倒罐及检修工况均应具有明确流向，避免阀门误操作导致串油。输油管径、流速、沿程阻力和局部阻力应与泵的流量、扬程及允许安装高度相匹配，过滤器、计量装置、控制阀和装车鹤位的通过能力不得成为系统瓶颈。公路发油还需处理油罐车进出、等候、装车和回车之间的交通组织，防止车辆深入储罐区或与人员通行混行。</w:t>
            </w:r>
          </w:p>
          <w:p>
            <w:pPr>
              <w:pStyle w:val="23"/>
              <w:keepNext w:val="0"/>
              <w:keepLines w:val="0"/>
              <w:pageBreakBefore w:val="0"/>
              <w:widowControl w:val="0"/>
              <w:kinsoku/>
              <w:wordWrap/>
              <w:overflowPunct/>
              <w:topLinePunct w:val="0"/>
              <w:autoSpaceDE/>
              <w:autoSpaceDN/>
              <w:bidi w:val="0"/>
              <w:adjustRightInd/>
              <w:snapToGrid/>
              <w:spacing w:after="0" w:line="360" w:lineRule="auto"/>
              <w:ind w:left="0" w:leftChars="0" w:firstLine="480" w:firstLineChars="200"/>
              <w:textAlignment w:val="auto"/>
              <w:rPr>
                <w:rFonts w:hint="default" w:asciiTheme="minorEastAsia" w:hAnsiTheme="minorEastAsia" w:cstheme="minorEastAsia"/>
                <w:color w:val="000000" w:themeColor="text1"/>
                <w:sz w:val="24"/>
                <w:szCs w:val="24"/>
                <w:highlight w:val="none"/>
                <w:lang w:val="en-US" w:eastAsia="zh-CN"/>
                <w14:textFill>
                  <w14:solidFill>
                    <w14:schemeClr w14:val="tx1"/>
                  </w14:solidFill>
                </w14:textFill>
              </w:rPr>
            </w:pPr>
            <w:r>
              <w:rPr>
                <w:rFonts w:hint="eastAsia" w:asciiTheme="minorEastAsia" w:hAnsiTheme="minorEastAsia" w:cstheme="minorEastAsia"/>
                <w:color w:val="000000" w:themeColor="text1"/>
                <w:sz w:val="24"/>
                <w:szCs w:val="24"/>
                <w:highlight w:val="none"/>
                <w:lang w:val="en-US" w:eastAsia="zh-CN"/>
                <w14:textFill>
                  <w14:solidFill>
                    <w14:schemeClr w14:val="tx1"/>
                  </w14:solidFill>
                </w14:textFill>
              </w:rPr>
              <w:t>再次需要解决汽油挥发、储罐溢流、管道泄漏和火灾事故的系统控制问题。汽油装车过程中产生的置换油气应密闭收集并进入油气回收装置；储罐应设置连续液位测量和独立高高液位保护，重要阀门应具有阀位反馈和紧急切断功能。防火堤、固定式泡沫灭火、消防冷却水、防雷防静电、可燃气体检测、含油污水收集和事故水导排应与总平面及工艺流程同步设计，保证正常工况下污染物受控、异常工况下事故范围受到限制。</w:t>
            </w:r>
          </w:p>
          <w:p>
            <w:pPr>
              <w:pStyle w:val="23"/>
              <w:ind w:left="0" w:leftChars="0" w:firstLine="0" w:firstLineChars="0"/>
              <w:rPr>
                <w:rFonts w:hint="eastAsia" w:asciiTheme="minorEastAsia" w:hAnsiTheme="minorEastAsia" w:cstheme="minorEastAsia"/>
                <w:color w:val="000000" w:themeColor="text1"/>
                <w:sz w:val="24"/>
                <w:szCs w:val="24"/>
                <w:highlight w:val="none"/>
                <w:lang w:val="en-US" w:eastAsia="zh-CN"/>
                <w14:textFill>
                  <w14:solidFill>
                    <w14:schemeClr w14:val="tx1"/>
                  </w14:solidFill>
                </w14:textFill>
              </w:rPr>
            </w:pPr>
            <w:r>
              <w:rPr>
                <w:rFonts w:hint="eastAsia" w:asciiTheme="minorEastAsia" w:hAnsiTheme="minorEastAsia" w:cstheme="minorEastAsia"/>
                <w:color w:val="000000" w:themeColor="text1"/>
                <w:sz w:val="24"/>
                <w:szCs w:val="24"/>
                <w:highlight w:val="none"/>
                <w:lang w:val="en-US" w:eastAsia="zh-CN"/>
                <w14:textFill>
                  <w14:solidFill>
                    <w14:schemeClr w14:val="tx1"/>
                  </w14:solidFill>
                </w14:textFill>
              </w:rPr>
              <w:t>三、设计目标</w:t>
            </w:r>
          </w:p>
          <w:p>
            <w:pPr>
              <w:pStyle w:val="23"/>
              <w:keepNext w:val="0"/>
              <w:keepLines w:val="0"/>
              <w:pageBreakBefore w:val="0"/>
              <w:widowControl w:val="0"/>
              <w:kinsoku/>
              <w:wordWrap/>
              <w:overflowPunct/>
              <w:topLinePunct w:val="0"/>
              <w:autoSpaceDE/>
              <w:autoSpaceDN/>
              <w:bidi w:val="0"/>
              <w:adjustRightInd/>
              <w:snapToGrid/>
              <w:spacing w:after="0" w:line="360" w:lineRule="auto"/>
              <w:ind w:left="0" w:leftChars="0" w:firstLine="480" w:firstLineChars="200"/>
              <w:textAlignment w:val="auto"/>
              <w:rPr>
                <w:rFonts w:hint="default" w:asciiTheme="minorEastAsia" w:hAnsiTheme="minorEastAsia" w:cstheme="minorEastAsia"/>
                <w:color w:val="000000" w:themeColor="text1"/>
                <w:sz w:val="24"/>
                <w:szCs w:val="24"/>
                <w:highlight w:val="none"/>
                <w:lang w:val="en-US" w:eastAsia="zh-CN"/>
                <w14:textFill>
                  <w14:solidFill>
                    <w14:schemeClr w14:val="tx1"/>
                  </w14:solidFill>
                </w14:textFill>
              </w:rPr>
            </w:pPr>
            <w:r>
              <w:rPr>
                <w:rFonts w:hint="eastAsia" w:asciiTheme="minorEastAsia" w:hAnsiTheme="minorEastAsia" w:cstheme="minorEastAsia"/>
                <w:color w:val="000000" w:themeColor="text1"/>
                <w:sz w:val="24"/>
                <w:szCs w:val="24"/>
                <w:highlight w:val="none"/>
                <w:lang w:val="en-US" w:eastAsia="zh-CN"/>
                <w14:textFill>
                  <w14:solidFill>
                    <w14:schemeClr w14:val="tx1"/>
                  </w14:solidFill>
                </w14:textFill>
              </w:rPr>
              <w:t>本课题的总体目标是完成一套满足既定周转任务、符合现行国家标准并能够进行计算校核的广州黄埔成品油库工艺设计。根据年周转系数K＝14分别计算三种油品的储存容量，形成92号汽油3座、95号汽油2座和0号柴油2座的储罐配置。7座储罐公称容量均为5000 m³，内径24 m、罐壁高度12 m、单罐工作容积5154 m³；汽油罐采用固定顶下全接液金属内浮顶结构，柴油罐采用固定顶结构。实际公称总容量为35000 m³，按油品类别折算后的储罐计算总容量为30000 m³，确定为二级石油库。</w:t>
            </w:r>
          </w:p>
          <w:p>
            <w:pPr>
              <w:pStyle w:val="23"/>
              <w:keepNext w:val="0"/>
              <w:keepLines w:val="0"/>
              <w:pageBreakBefore w:val="0"/>
              <w:widowControl w:val="0"/>
              <w:kinsoku/>
              <w:wordWrap/>
              <w:overflowPunct/>
              <w:topLinePunct w:val="0"/>
              <w:autoSpaceDE/>
              <w:autoSpaceDN/>
              <w:bidi w:val="0"/>
              <w:adjustRightInd/>
              <w:snapToGrid/>
              <w:spacing w:after="0" w:line="360" w:lineRule="auto"/>
              <w:ind w:left="0" w:leftChars="0" w:firstLine="480" w:firstLineChars="200"/>
              <w:textAlignment w:val="auto"/>
              <w:rPr>
                <w:rFonts w:hint="default" w:asciiTheme="minorEastAsia" w:hAnsiTheme="minorEastAsia" w:cstheme="minorEastAsia"/>
                <w:color w:val="000000" w:themeColor="text1"/>
                <w:sz w:val="24"/>
                <w:szCs w:val="24"/>
                <w:highlight w:val="none"/>
                <w:lang w:val="en-US" w:eastAsia="zh-CN"/>
                <w14:textFill>
                  <w14:solidFill>
                    <w14:schemeClr w14:val="tx1"/>
                  </w14:solidFill>
                </w14:textFill>
              </w:rPr>
            </w:pPr>
            <w:r>
              <w:rPr>
                <w:rFonts w:hint="eastAsia" w:asciiTheme="minorEastAsia" w:hAnsiTheme="minorEastAsia" w:cstheme="minorEastAsia"/>
                <w:color w:val="000000" w:themeColor="text1"/>
                <w:sz w:val="24"/>
                <w:szCs w:val="24"/>
                <w:highlight w:val="none"/>
                <w:lang w:val="en-US" w:eastAsia="zh-CN"/>
                <w14:textFill>
                  <w14:solidFill>
                    <w14:schemeClr w14:val="tx1"/>
                  </w14:solidFill>
                </w14:textFill>
              </w:rPr>
              <w:t>在库容和油库等级确定的基础上，完成储油区、装卸区、辅助生产区和行政管理区的功能分区，建立管道密闭收油、分质储存、管输发油、公路底部装车、同品种倒罐和汽油油气回收流程；完成储罐、管道、泵组和消防设施的主要参数计算及校核。三种油品采用独立输送系统，每种油品设置2台同规格主输油泵，按1用1备运行，额定流量60 m³/h、扬程40 m。最终使储罐容量、管道输送能力、泵组工作点、装车能力、油气回收能力和消防保障能力相互匹配。</w:t>
            </w:r>
          </w:p>
          <w:p>
            <w:pPr>
              <w:numPr>
                <w:ilvl w:val="0"/>
                <w:numId w:val="0"/>
              </w:numPr>
              <w:spacing w:line="480" w:lineRule="auto"/>
              <w:ind w:leftChars="0"/>
              <w:rPr>
                <w:rFonts w:hint="eastAsia" w:asciiTheme="minorEastAsia" w:hAnsiTheme="minorEastAsia" w:eastAsiaTheme="minorEastAsia" w:cstheme="minorEastAsia"/>
                <w:color w:val="000000" w:themeColor="text1"/>
                <w:sz w:val="24"/>
                <w:szCs w:val="24"/>
                <w:highlight w:val="none"/>
                <w14:textFill>
                  <w14:solidFill>
                    <w14:schemeClr w14:val="tx1"/>
                  </w14:solidFill>
                </w14:textFill>
              </w:rPr>
            </w:pPr>
            <w:r>
              <w:rPr>
                <w:rFonts w:hint="eastAsia" w:asciiTheme="minorEastAsia" w:hAnsiTheme="minorEastAsia" w:eastAsiaTheme="minorEastAsia" w:cstheme="minorEastAsia"/>
                <w:color w:val="000000" w:themeColor="text1"/>
                <w:sz w:val="24"/>
                <w:szCs w:val="24"/>
                <w:highlight w:val="none"/>
                <w:lang w:val="en-US" w:eastAsia="zh-CN"/>
                <w14:textFill>
                  <w14:solidFill>
                    <w14:schemeClr w14:val="tx1"/>
                  </w14:solidFill>
                </w14:textFill>
              </w:rPr>
              <w:t>2.设计方案与技术路线</w:t>
            </w:r>
          </w:p>
          <w:p>
            <w:pPr>
              <w:pStyle w:val="23"/>
              <w:ind w:left="0" w:leftChars="0" w:firstLine="0" w:firstLineChars="0"/>
              <w:rPr>
                <w:rFonts w:hint="eastAsia" w:asciiTheme="minorEastAsia" w:hAnsiTheme="minorEastAsia" w:cstheme="minorEastAsia"/>
                <w:color w:val="000000" w:themeColor="text1"/>
                <w:sz w:val="24"/>
                <w:szCs w:val="24"/>
                <w:highlight w:val="none"/>
                <w:lang w:val="en-US" w:eastAsia="zh-CN"/>
                <w14:textFill>
                  <w14:solidFill>
                    <w14:schemeClr w14:val="tx1"/>
                  </w14:solidFill>
                </w14:textFill>
              </w:rPr>
            </w:pPr>
            <w:r>
              <w:rPr>
                <w:rFonts w:hint="eastAsia" w:asciiTheme="minorEastAsia" w:hAnsiTheme="minorEastAsia" w:cstheme="minorEastAsia"/>
                <w:color w:val="000000" w:themeColor="text1"/>
                <w:sz w:val="24"/>
                <w:szCs w:val="24"/>
                <w:highlight w:val="none"/>
                <w:lang w:val="en-US" w:eastAsia="zh-CN"/>
                <w14:textFill>
                  <w14:solidFill>
                    <w14:schemeClr w14:val="tx1"/>
                  </w14:solidFill>
                </w14:textFill>
              </w:rPr>
              <w:t>一、设计基础</w:t>
            </w:r>
          </w:p>
          <w:p>
            <w:pPr>
              <w:pStyle w:val="23"/>
              <w:keepNext w:val="0"/>
              <w:keepLines w:val="0"/>
              <w:pageBreakBefore w:val="0"/>
              <w:widowControl w:val="0"/>
              <w:kinsoku/>
              <w:wordWrap/>
              <w:overflowPunct/>
              <w:topLinePunct w:val="0"/>
              <w:autoSpaceDE/>
              <w:autoSpaceDN/>
              <w:bidi w:val="0"/>
              <w:adjustRightInd/>
              <w:snapToGrid/>
              <w:spacing w:after="0" w:line="360" w:lineRule="auto"/>
              <w:ind w:left="0" w:leftChars="0" w:firstLine="480" w:firstLineChars="200"/>
              <w:textAlignment w:val="auto"/>
              <w:rPr>
                <w:rFonts w:hint="default" w:asciiTheme="minorEastAsia" w:hAnsiTheme="minorEastAsia" w:cstheme="minorEastAsia"/>
                <w:color w:val="000000" w:themeColor="text1"/>
                <w:sz w:val="24"/>
                <w:szCs w:val="24"/>
                <w:highlight w:val="none"/>
                <w:lang w:val="en-US" w:eastAsia="zh-CN"/>
                <w14:textFill>
                  <w14:solidFill>
                    <w14:schemeClr w14:val="tx1"/>
                  </w14:solidFill>
                </w14:textFill>
              </w:rPr>
            </w:pPr>
            <w:r>
              <w:rPr>
                <w:rFonts w:hint="eastAsia" w:asciiTheme="minorEastAsia" w:hAnsiTheme="minorEastAsia" w:cstheme="minorEastAsia"/>
                <w:color w:val="000000" w:themeColor="text1"/>
                <w:sz w:val="24"/>
                <w:szCs w:val="24"/>
                <w:highlight w:val="none"/>
                <w:lang w:val="en-US" w:eastAsia="zh-CN"/>
                <w14:textFill>
                  <w14:solidFill>
                    <w14:schemeClr w14:val="tx1"/>
                  </w14:solidFill>
                </w14:textFill>
              </w:rPr>
              <w:t>设计以任务书确定的油品种类、年周转量、收发油方式、场地位置和气候资料为基础，并以完成版毕业设计中的库容计算结果作为系统边界。油品火灾危险性、油库分级、总平面、防火间距和消防道路依据《石油库设计规范》GB 50074—2014确定；立式储罐结构依据《立式圆筒形钢制焊接油罐设计规范》GB 50341—2014计算；输油管道按《输油管道工程设计规范》GB 50253—2014和现行钢管标准选材；汽油装车油气控制执行《储油库大气污染物排放标准》GB 20950—2020；泡沫灭火和消防给水分别按《泡沫灭火系统技术标准》GB 50151—2021及《消防给水及消火栓系统技术规范》GB 50974—2014设计。</w:t>
            </w:r>
          </w:p>
          <w:p>
            <w:pPr>
              <w:pStyle w:val="23"/>
              <w:ind w:left="0" w:leftChars="0" w:firstLine="0" w:firstLineChars="0"/>
              <w:rPr>
                <w:rFonts w:hint="eastAsia" w:asciiTheme="minorEastAsia" w:hAnsiTheme="minorEastAsia" w:cstheme="minorEastAsia"/>
                <w:color w:val="000000" w:themeColor="text1"/>
                <w:sz w:val="24"/>
                <w:szCs w:val="24"/>
                <w:highlight w:val="none"/>
                <w:lang w:val="en-US" w:eastAsia="zh-CN"/>
                <w14:textFill>
                  <w14:solidFill>
                    <w14:schemeClr w14:val="tx1"/>
                  </w14:solidFill>
                </w14:textFill>
              </w:rPr>
            </w:pPr>
            <w:r>
              <w:rPr>
                <w:rFonts w:hint="eastAsia" w:asciiTheme="minorEastAsia" w:hAnsiTheme="minorEastAsia" w:cstheme="minorEastAsia"/>
                <w:color w:val="000000" w:themeColor="text1"/>
                <w:sz w:val="24"/>
                <w:szCs w:val="24"/>
                <w:highlight w:val="none"/>
                <w:lang w:val="en-US" w:eastAsia="zh-CN"/>
                <w14:textFill>
                  <w14:solidFill>
                    <w14:schemeClr w14:val="tx1"/>
                  </w14:solidFill>
                </w14:textFill>
              </w:rPr>
              <w:t>二、总体设计方案</w:t>
            </w:r>
          </w:p>
          <w:p>
            <w:pPr>
              <w:pStyle w:val="23"/>
              <w:keepNext w:val="0"/>
              <w:keepLines w:val="0"/>
              <w:pageBreakBefore w:val="0"/>
              <w:widowControl w:val="0"/>
              <w:kinsoku/>
              <w:wordWrap/>
              <w:overflowPunct/>
              <w:topLinePunct w:val="0"/>
              <w:autoSpaceDE/>
              <w:autoSpaceDN/>
              <w:bidi w:val="0"/>
              <w:adjustRightInd/>
              <w:snapToGrid/>
              <w:spacing w:after="0" w:line="360" w:lineRule="auto"/>
              <w:ind w:left="0" w:leftChars="0" w:firstLine="480" w:firstLineChars="200"/>
              <w:textAlignment w:val="auto"/>
              <w:rPr>
                <w:rFonts w:hint="default" w:asciiTheme="minorEastAsia" w:hAnsiTheme="minorEastAsia" w:cstheme="minorEastAsia"/>
                <w:color w:val="000000" w:themeColor="text1"/>
                <w:sz w:val="24"/>
                <w:szCs w:val="24"/>
                <w:highlight w:val="none"/>
                <w:lang w:val="en-US" w:eastAsia="zh-CN"/>
                <w14:textFill>
                  <w14:solidFill>
                    <w14:schemeClr w14:val="tx1"/>
                  </w14:solidFill>
                </w14:textFill>
              </w:rPr>
            </w:pPr>
            <w:r>
              <w:rPr>
                <w:rFonts w:hint="eastAsia" w:asciiTheme="minorEastAsia" w:hAnsiTheme="minorEastAsia" w:cstheme="minorEastAsia"/>
                <w:color w:val="000000" w:themeColor="text1"/>
                <w:sz w:val="24"/>
                <w:szCs w:val="24"/>
                <w:highlight w:val="none"/>
                <w:lang w:val="en-US" w:eastAsia="zh-CN"/>
                <w14:textFill>
                  <w14:solidFill>
                    <w14:schemeClr w14:val="tx1"/>
                  </w14:solidFill>
                </w14:textFill>
              </w:rPr>
              <w:t>油库采用“管道密闭收油—分质分罐储存—管输与公路联合发油”的总体工艺。储油区布置在库区相对独立位置，汽油罐组与柴油罐组分开设置并分别配置防火堤；公路装车区靠近库外道路，设置独立车辆出入口、等候区、回车场、底部装车鹤位和定量装车控制设施；消防泵房、消防水池、泡沫站、变配电间、油气回收装置、含油污水及事故收集设施布置在辅助生产区；行政管理区设置独立人员出入口，并与生产运输流线分离。罐区设置环形消防车道，工艺管廊沿主干道布置，消防管网环状敷设，雨水、含油污水和事故排水分系统收集。</w:t>
            </w:r>
          </w:p>
          <w:p>
            <w:pPr>
              <w:pStyle w:val="23"/>
              <w:keepNext w:val="0"/>
              <w:keepLines w:val="0"/>
              <w:pageBreakBefore w:val="0"/>
              <w:widowControl w:val="0"/>
              <w:kinsoku/>
              <w:wordWrap/>
              <w:overflowPunct/>
              <w:topLinePunct w:val="0"/>
              <w:autoSpaceDE/>
              <w:autoSpaceDN/>
              <w:bidi w:val="0"/>
              <w:adjustRightInd/>
              <w:snapToGrid/>
              <w:spacing w:after="0" w:line="360" w:lineRule="auto"/>
              <w:ind w:left="0" w:leftChars="0" w:firstLine="480" w:firstLineChars="200"/>
              <w:textAlignment w:val="auto"/>
              <w:rPr>
                <w:rFonts w:hint="default" w:asciiTheme="minorEastAsia" w:hAnsiTheme="minorEastAsia" w:cstheme="minorEastAsia"/>
                <w:color w:val="000000" w:themeColor="text1"/>
                <w:sz w:val="24"/>
                <w:szCs w:val="24"/>
                <w:highlight w:val="none"/>
                <w:lang w:val="en-US" w:eastAsia="zh-CN"/>
                <w14:textFill>
                  <w14:solidFill>
                    <w14:schemeClr w14:val="tx1"/>
                  </w14:solidFill>
                </w14:textFill>
              </w:rPr>
            </w:pPr>
            <w:r>
              <w:rPr>
                <w:rFonts w:hint="eastAsia" w:asciiTheme="minorEastAsia" w:hAnsiTheme="minorEastAsia" w:cstheme="minorEastAsia"/>
                <w:color w:val="000000" w:themeColor="text1"/>
                <w:sz w:val="24"/>
                <w:szCs w:val="24"/>
                <w:highlight w:val="none"/>
                <w:lang w:val="en-US" w:eastAsia="zh-CN"/>
                <w14:textFill>
                  <w14:solidFill>
                    <w14:schemeClr w14:val="tx1"/>
                  </w14:solidFill>
                </w14:textFill>
              </w:rPr>
              <w:t>92号和95号汽油采用内浮顶罐，减少储存过程中的蒸发损耗；0号柴油采用固定顶罐，按常温储存和常温输送设计。三种油品分别设置收油支管、罐前阀组、泵吸入管和发油主管，柴油系统与汽油系统保持物理隔离。收油流程由库界紧急截断、过滤计量、在线检测、分配阀组和液下进罐组成；发油流程由储罐、罐前阀组、主输油泵、过滤计量装置和管输或公路装车支路组成。同品种储罐之间设置固定倒罐流程，不采用临时软管；低点排液、过滤器排污和泄压介质进入闭式污油系统。</w:t>
            </w:r>
          </w:p>
          <w:p>
            <w:pPr>
              <w:pStyle w:val="23"/>
              <w:ind w:left="0" w:leftChars="0" w:firstLine="0" w:firstLineChars="0"/>
              <w:rPr>
                <w:rFonts w:hint="eastAsia" w:asciiTheme="minorEastAsia" w:hAnsiTheme="minorEastAsia" w:cstheme="minorEastAsia"/>
                <w:color w:val="000000" w:themeColor="text1"/>
                <w:sz w:val="24"/>
                <w:szCs w:val="24"/>
                <w:highlight w:val="none"/>
                <w:lang w:val="en-US" w:eastAsia="zh-CN"/>
                <w14:textFill>
                  <w14:solidFill>
                    <w14:schemeClr w14:val="tx1"/>
                  </w14:solidFill>
                </w14:textFill>
              </w:rPr>
            </w:pPr>
            <w:r>
              <w:rPr>
                <w:rFonts w:hint="eastAsia" w:asciiTheme="minorEastAsia" w:hAnsiTheme="minorEastAsia" w:cstheme="minorEastAsia"/>
                <w:color w:val="000000" w:themeColor="text1"/>
                <w:sz w:val="24"/>
                <w:szCs w:val="24"/>
                <w:highlight w:val="none"/>
                <w:lang w:val="en-US" w:eastAsia="zh-CN"/>
                <w14:textFill>
                  <w14:solidFill>
                    <w14:schemeClr w14:val="tx1"/>
                  </w14:solidFill>
                </w14:textFill>
              </w:rPr>
              <w:t>三、主要设计内容</w:t>
            </w:r>
          </w:p>
          <w:p>
            <w:pPr>
              <w:pStyle w:val="23"/>
              <w:keepNext w:val="0"/>
              <w:keepLines w:val="0"/>
              <w:pageBreakBefore w:val="0"/>
              <w:widowControl w:val="0"/>
              <w:kinsoku/>
              <w:wordWrap/>
              <w:overflowPunct/>
              <w:topLinePunct w:val="0"/>
              <w:autoSpaceDE/>
              <w:autoSpaceDN/>
              <w:bidi w:val="0"/>
              <w:adjustRightInd/>
              <w:snapToGrid/>
              <w:spacing w:after="0" w:line="360" w:lineRule="auto"/>
              <w:ind w:left="0" w:leftChars="0" w:firstLine="480" w:firstLineChars="200"/>
              <w:textAlignment w:val="auto"/>
              <w:rPr>
                <w:rFonts w:hint="default" w:asciiTheme="minorEastAsia" w:hAnsiTheme="minorEastAsia" w:cstheme="minorEastAsia"/>
                <w:color w:val="000000" w:themeColor="text1"/>
                <w:sz w:val="24"/>
                <w:szCs w:val="24"/>
                <w:highlight w:val="none"/>
                <w:lang w:val="en-US" w:eastAsia="zh-CN"/>
                <w14:textFill>
                  <w14:solidFill>
                    <w14:schemeClr w14:val="tx1"/>
                  </w14:solidFill>
                </w14:textFill>
              </w:rPr>
            </w:pPr>
            <w:r>
              <w:rPr>
                <w:rFonts w:hint="eastAsia" w:asciiTheme="minorEastAsia" w:hAnsiTheme="minorEastAsia" w:cstheme="minorEastAsia"/>
                <w:color w:val="000000" w:themeColor="text1"/>
                <w:sz w:val="24"/>
                <w:szCs w:val="24"/>
                <w:highlight w:val="none"/>
                <w:lang w:val="en-US" w:eastAsia="zh-CN"/>
                <w14:textFill>
                  <w14:solidFill>
                    <w14:schemeClr w14:val="tx1"/>
                  </w14:solidFill>
                </w14:textFill>
              </w:rPr>
              <w:t>第一，完成库容与油库等级计算。分别将三种油品的年周转量换算为体积周转量，结合K＝14和储罐利用系数计算所需储存容量，按5000 m³统一罐型配置储罐。根据汽油和柴油火灾危险性及规范规定的折算系数计算储罐计算总容量，确定油库等级，并以此作为总平面、防火间距、道路和消防设计的控制条件。</w:t>
            </w:r>
          </w:p>
          <w:p>
            <w:pPr>
              <w:pStyle w:val="23"/>
              <w:keepNext w:val="0"/>
              <w:keepLines w:val="0"/>
              <w:pageBreakBefore w:val="0"/>
              <w:widowControl w:val="0"/>
              <w:kinsoku/>
              <w:wordWrap/>
              <w:overflowPunct/>
              <w:topLinePunct w:val="0"/>
              <w:autoSpaceDE/>
              <w:autoSpaceDN/>
              <w:bidi w:val="0"/>
              <w:adjustRightInd/>
              <w:snapToGrid/>
              <w:spacing w:after="0" w:line="360" w:lineRule="auto"/>
              <w:ind w:left="0" w:leftChars="0" w:firstLine="480" w:firstLineChars="200"/>
              <w:textAlignment w:val="auto"/>
              <w:rPr>
                <w:rFonts w:hint="default" w:asciiTheme="minorEastAsia" w:hAnsiTheme="minorEastAsia" w:cstheme="minorEastAsia"/>
                <w:color w:val="000000" w:themeColor="text1"/>
                <w:sz w:val="24"/>
                <w:szCs w:val="24"/>
                <w:highlight w:val="none"/>
                <w:lang w:val="en-US" w:eastAsia="zh-CN"/>
                <w14:textFill>
                  <w14:solidFill>
                    <w14:schemeClr w14:val="tx1"/>
                  </w14:solidFill>
                </w14:textFill>
              </w:rPr>
            </w:pPr>
            <w:r>
              <w:rPr>
                <w:rFonts w:hint="eastAsia" w:asciiTheme="minorEastAsia" w:hAnsiTheme="minorEastAsia" w:cstheme="minorEastAsia"/>
                <w:color w:val="000000" w:themeColor="text1"/>
                <w:sz w:val="24"/>
                <w:szCs w:val="24"/>
                <w:highlight w:val="none"/>
                <w:lang w:val="en-US" w:eastAsia="zh-CN"/>
                <w14:textFill>
                  <w14:solidFill>
                    <w14:schemeClr w14:val="tx1"/>
                  </w14:solidFill>
                </w14:textFill>
              </w:rPr>
              <w:t>第二，完成总平面和竖向布置。依据工艺联系、火灾危险性、主导风向、黄埔东路交通条件及场地排水要求划分四个功能区；确定储罐组、防火堤、泵棚、公路装车区、消防设施、辅助建筑和行政管理设施的相对位置。道路按生产运输、消防救援和人员通行分别组织，罐区设置环形消防车道，装车车辆采用单向循环。竖向设计结合广州强降雨条件确定场坪和道路排水坡向，使清净雨水、初期含油雨水及事故消防水有组织排放和收集。</w:t>
            </w:r>
          </w:p>
          <w:p>
            <w:pPr>
              <w:pStyle w:val="23"/>
              <w:keepNext w:val="0"/>
              <w:keepLines w:val="0"/>
              <w:pageBreakBefore w:val="0"/>
              <w:widowControl w:val="0"/>
              <w:kinsoku/>
              <w:wordWrap/>
              <w:overflowPunct/>
              <w:topLinePunct w:val="0"/>
              <w:autoSpaceDE/>
              <w:autoSpaceDN/>
              <w:bidi w:val="0"/>
              <w:adjustRightInd/>
              <w:snapToGrid/>
              <w:spacing w:after="0" w:line="360" w:lineRule="auto"/>
              <w:ind w:left="0" w:leftChars="0" w:firstLine="480" w:firstLineChars="200"/>
              <w:textAlignment w:val="auto"/>
              <w:rPr>
                <w:rFonts w:hint="default" w:asciiTheme="minorEastAsia" w:hAnsiTheme="minorEastAsia" w:cstheme="minorEastAsia"/>
                <w:color w:val="000000" w:themeColor="text1"/>
                <w:sz w:val="24"/>
                <w:szCs w:val="24"/>
                <w:highlight w:val="none"/>
                <w:lang w:val="en-US" w:eastAsia="zh-CN"/>
                <w14:textFill>
                  <w14:solidFill>
                    <w14:schemeClr w14:val="tx1"/>
                  </w14:solidFill>
                </w14:textFill>
              </w:rPr>
            </w:pPr>
            <w:r>
              <w:rPr>
                <w:rFonts w:hint="eastAsia" w:asciiTheme="minorEastAsia" w:hAnsiTheme="minorEastAsia" w:cstheme="minorEastAsia"/>
                <w:color w:val="000000" w:themeColor="text1"/>
                <w:sz w:val="24"/>
                <w:szCs w:val="24"/>
                <w:highlight w:val="none"/>
                <w:lang w:val="en-US" w:eastAsia="zh-CN"/>
                <w14:textFill>
                  <w14:solidFill>
                    <w14:schemeClr w14:val="tx1"/>
                  </w14:solidFill>
                </w14:textFill>
              </w:rPr>
              <w:t>第三，完成储罐计算与选型。7座储罐采用统一的内径和罐壁高度，汽油罐与柴油罐分别计算液柱压力和各圈壁板厚度，校核罐壁最小厚度、抗风稳定及中间抗风圈；确定固定顶、内浮顶、罐底和主要附件型式。储罐进出油接管、人孔、通气装置、排污与排水口、液位和温度仪表、高高液位联锁、泡沫及冷却水接口按介质特性和运行要求配置，并与第六章工艺流程保持一致。</w:t>
            </w:r>
          </w:p>
          <w:p>
            <w:pPr>
              <w:pStyle w:val="23"/>
              <w:keepNext w:val="0"/>
              <w:keepLines w:val="0"/>
              <w:pageBreakBefore w:val="0"/>
              <w:widowControl w:val="0"/>
              <w:kinsoku/>
              <w:wordWrap/>
              <w:overflowPunct/>
              <w:topLinePunct w:val="0"/>
              <w:autoSpaceDE/>
              <w:autoSpaceDN/>
              <w:bidi w:val="0"/>
              <w:adjustRightInd/>
              <w:snapToGrid/>
              <w:spacing w:after="0" w:line="360" w:lineRule="auto"/>
              <w:ind w:left="0" w:leftChars="0" w:firstLine="480" w:firstLineChars="200"/>
              <w:textAlignment w:val="auto"/>
              <w:rPr>
                <w:rFonts w:hint="default" w:asciiTheme="minorEastAsia" w:hAnsiTheme="minorEastAsia" w:cstheme="minorEastAsia"/>
                <w:color w:val="000000" w:themeColor="text1"/>
                <w:sz w:val="24"/>
                <w:szCs w:val="24"/>
                <w:highlight w:val="none"/>
                <w:lang w:val="en-US" w:eastAsia="zh-CN"/>
                <w14:textFill>
                  <w14:solidFill>
                    <w14:schemeClr w14:val="tx1"/>
                  </w14:solidFill>
                </w14:textFill>
              </w:rPr>
            </w:pPr>
            <w:r>
              <w:rPr>
                <w:rFonts w:hint="eastAsia" w:asciiTheme="minorEastAsia" w:hAnsiTheme="minorEastAsia" w:cstheme="minorEastAsia"/>
                <w:color w:val="000000" w:themeColor="text1"/>
                <w:sz w:val="24"/>
                <w:szCs w:val="24"/>
                <w:highlight w:val="none"/>
                <w:lang w:val="en-US" w:eastAsia="zh-CN"/>
                <w14:textFill>
                  <w14:solidFill>
                    <w14:schemeClr w14:val="tx1"/>
                  </w14:solidFill>
                </w14:textFill>
              </w:rPr>
              <w:t>第四，完成输油管道和泵组设计。按60 m³/h设计流量分别计算汽油和柴油管径，校核流速、雷诺数、沿程阻力、局部阻力及管壁强度；依据静压差、管路摩阻、过滤计量设备压降和库外接口余压确定所需扬程。主输油泵选用OH1型卧式单级端吸离心油泵，每种油品2台、1用1备，并对泵流量、扬程、装卸能力、允许吸入高度和实际安装标高进行校核。泵轴中心均布置在相应储罐最低操作液位以下0.50 m，以形成灌注式吸入并提高抗汽蚀能力。</w:t>
            </w:r>
          </w:p>
          <w:p>
            <w:pPr>
              <w:pStyle w:val="23"/>
              <w:keepNext w:val="0"/>
              <w:keepLines w:val="0"/>
              <w:pageBreakBefore w:val="0"/>
              <w:widowControl w:val="0"/>
              <w:kinsoku/>
              <w:wordWrap/>
              <w:overflowPunct/>
              <w:topLinePunct w:val="0"/>
              <w:autoSpaceDE/>
              <w:autoSpaceDN/>
              <w:bidi w:val="0"/>
              <w:adjustRightInd/>
              <w:snapToGrid/>
              <w:spacing w:after="0" w:line="360" w:lineRule="auto"/>
              <w:ind w:left="0" w:leftChars="0" w:firstLine="480" w:firstLineChars="200"/>
              <w:textAlignment w:val="auto"/>
              <w:rPr>
                <w:rFonts w:hint="default" w:asciiTheme="minorEastAsia" w:hAnsiTheme="minorEastAsia" w:cstheme="minorEastAsia"/>
                <w:color w:val="000000" w:themeColor="text1"/>
                <w:sz w:val="24"/>
                <w:szCs w:val="24"/>
                <w:highlight w:val="none"/>
                <w:lang w:val="en-US" w:eastAsia="zh-CN"/>
                <w14:textFill>
                  <w14:solidFill>
                    <w14:schemeClr w14:val="tx1"/>
                  </w14:solidFill>
                </w14:textFill>
              </w:rPr>
            </w:pPr>
            <w:r>
              <w:rPr>
                <w:rFonts w:hint="eastAsia" w:asciiTheme="minorEastAsia" w:hAnsiTheme="minorEastAsia" w:cstheme="minorEastAsia"/>
                <w:color w:val="000000" w:themeColor="text1"/>
                <w:sz w:val="24"/>
                <w:szCs w:val="24"/>
                <w:highlight w:val="none"/>
                <w:lang w:val="en-US" w:eastAsia="zh-CN"/>
                <w14:textFill>
                  <w14:solidFill>
                    <w14:schemeClr w14:val="tx1"/>
                  </w14:solidFill>
                </w14:textFill>
              </w:rPr>
              <w:t>第五，完成工艺流程与自动控制设计。收油采用库界接收、过滤计量、在线密度与温度检测、分质分配和液下进罐的密闭流程；管输发油与公路装车分别设置支路和控制回路。公路汽油发油采用底部密闭装车，置换油气集中进入处理能力120 m³/h的油气回收装置。储罐连续液位计与独立高高液位开关、泵运行状态、阀位反馈、过滤器压差、可燃气体检测、静电接地和防溢流信号纳入联锁，发生高高液位、泄漏、火灾或可燃气体高高报警时执行停输和紧急切断。</w:t>
            </w:r>
          </w:p>
          <w:p>
            <w:pPr>
              <w:pStyle w:val="23"/>
              <w:keepNext w:val="0"/>
              <w:keepLines w:val="0"/>
              <w:pageBreakBefore w:val="0"/>
              <w:widowControl w:val="0"/>
              <w:kinsoku/>
              <w:wordWrap/>
              <w:overflowPunct/>
              <w:topLinePunct w:val="0"/>
              <w:autoSpaceDE/>
              <w:autoSpaceDN/>
              <w:bidi w:val="0"/>
              <w:adjustRightInd/>
              <w:snapToGrid/>
              <w:spacing w:after="0" w:line="360" w:lineRule="auto"/>
              <w:ind w:left="0" w:leftChars="0" w:firstLine="480" w:firstLineChars="200"/>
              <w:textAlignment w:val="auto"/>
              <w:rPr>
                <w:rFonts w:hint="default" w:asciiTheme="minorEastAsia" w:hAnsiTheme="minorEastAsia" w:cstheme="minorEastAsia"/>
                <w:color w:val="000000" w:themeColor="text1"/>
                <w:sz w:val="24"/>
                <w:szCs w:val="24"/>
                <w:highlight w:val="none"/>
                <w:lang w:val="en-US" w:eastAsia="zh-CN"/>
                <w14:textFill>
                  <w14:solidFill>
                    <w14:schemeClr w14:val="tx1"/>
                  </w14:solidFill>
                </w14:textFill>
              </w:rPr>
            </w:pPr>
            <w:r>
              <w:rPr>
                <w:rFonts w:hint="eastAsia" w:asciiTheme="minorEastAsia" w:hAnsiTheme="minorEastAsia" w:cstheme="minorEastAsia"/>
                <w:color w:val="000000" w:themeColor="text1"/>
                <w:sz w:val="24"/>
                <w:szCs w:val="24"/>
                <w:highlight w:val="none"/>
                <w:lang w:val="en-US" w:eastAsia="zh-CN"/>
                <w14:textFill>
                  <w14:solidFill>
                    <w14:schemeClr w14:val="tx1"/>
                  </w14:solidFill>
                </w14:textFill>
              </w:rPr>
              <w:t>第六，完成消防安全和环境保护设计。消防系统按5000 m³最大单罐火灾工况确定，配置固定式低倍数泡沫灭火和固定式消防冷却水系统；泡沫液有效储量取10 m³，消防水池总有效容积取2000 m³。各罐组防火堤有效容量不小于5000 m³，并校核堤体高度、容积、抗滑和抗倾覆。库区设置防雷、防静电、可燃气体检测、紧急切断、事故排水、含油污水收集和HSE管理措施，使泄漏油品、污染雨水和消防废水具有明确的收集去向。</w:t>
            </w:r>
          </w:p>
          <w:p>
            <w:pPr>
              <w:pStyle w:val="23"/>
              <w:ind w:left="0" w:leftChars="0" w:firstLine="0" w:firstLineChars="0"/>
              <w:rPr>
                <w:rFonts w:hint="eastAsia" w:asciiTheme="minorEastAsia" w:hAnsiTheme="minorEastAsia" w:cstheme="minorEastAsia"/>
                <w:color w:val="000000" w:themeColor="text1"/>
                <w:sz w:val="24"/>
                <w:szCs w:val="24"/>
                <w:highlight w:val="none"/>
                <w:lang w:val="en-US" w:eastAsia="zh-CN"/>
                <w14:textFill>
                  <w14:solidFill>
                    <w14:schemeClr w14:val="tx1"/>
                  </w14:solidFill>
                </w14:textFill>
              </w:rPr>
            </w:pPr>
            <w:r>
              <w:rPr>
                <w:rFonts w:hint="eastAsia" w:asciiTheme="minorEastAsia" w:hAnsiTheme="minorEastAsia" w:cstheme="minorEastAsia"/>
                <w:color w:val="000000" w:themeColor="text1"/>
                <w:sz w:val="24"/>
                <w:szCs w:val="24"/>
                <w:highlight w:val="none"/>
                <w:lang w:val="en-US" w:eastAsia="zh-CN"/>
                <w14:textFill>
                  <w14:solidFill>
                    <w14:schemeClr w14:val="tx1"/>
                  </w14:solidFill>
                </w14:textFill>
              </w:rPr>
              <w:t>四、技术路线与工具</w:t>
            </w:r>
          </w:p>
          <w:p>
            <w:pPr>
              <w:pStyle w:val="23"/>
              <w:keepNext w:val="0"/>
              <w:keepLines w:val="0"/>
              <w:pageBreakBefore w:val="0"/>
              <w:widowControl w:val="0"/>
              <w:kinsoku/>
              <w:wordWrap/>
              <w:overflowPunct/>
              <w:topLinePunct w:val="0"/>
              <w:autoSpaceDE/>
              <w:autoSpaceDN/>
              <w:bidi w:val="0"/>
              <w:adjustRightInd/>
              <w:snapToGrid/>
              <w:spacing w:after="0" w:line="360" w:lineRule="auto"/>
              <w:ind w:left="0" w:leftChars="0" w:firstLine="480" w:firstLineChars="200"/>
              <w:textAlignment w:val="auto"/>
              <w:rPr>
                <w:rFonts w:hint="default" w:asciiTheme="minorEastAsia" w:hAnsiTheme="minorEastAsia" w:cstheme="minorEastAsia"/>
                <w:color w:val="000000" w:themeColor="text1"/>
                <w:sz w:val="24"/>
                <w:szCs w:val="24"/>
                <w:highlight w:val="none"/>
                <w:lang w:val="en-US" w:eastAsia="zh-CN"/>
                <w14:textFill>
                  <w14:solidFill>
                    <w14:schemeClr w14:val="tx1"/>
                  </w14:solidFill>
                </w14:textFill>
              </w:rPr>
            </w:pPr>
            <w:r>
              <w:rPr>
                <w:rFonts w:hint="eastAsia" w:asciiTheme="minorEastAsia" w:hAnsiTheme="minorEastAsia" w:cstheme="minorEastAsia"/>
                <w:color w:val="000000" w:themeColor="text1"/>
                <w:sz w:val="24"/>
                <w:szCs w:val="24"/>
                <w:highlight w:val="none"/>
                <w:lang w:val="en-US" w:eastAsia="zh-CN"/>
                <w14:textFill>
                  <w14:solidFill>
                    <w14:schemeClr w14:val="tx1"/>
                  </w14:solidFill>
                </w14:textFill>
              </w:rPr>
              <w:t>技术路线按“基础资料核定—库容计算与等级确定—总平面及竖向布置—储罐计算与选型—管道水力及强度计算—泵组选型与性能校核—收油、储存、发油、倒罐和油气回收流程设计—消防安全与环保设计—图纸绘制—图文一致性复核”的顺序实施。前一阶段形成的参数作为后一阶段的输入：库容和等级控制总图与消防设计，储罐工作容积和接管控制工艺流程，管道阻力控制泵扬程，最大单罐规格控制防火堤和消防系统。计算过程采用物料平衡、连续性方程、达西公式、静液压力和结构强度计算方法，重复计算使用电子表格复核；总平面布置图、工艺流程图和主要工艺管道布置图采用AutoCAD绘制；说明书使用Microsoft Word编排。</w:t>
            </w:r>
          </w:p>
          <w:p>
            <w:pPr>
              <w:pStyle w:val="23"/>
              <w:keepNext w:val="0"/>
              <w:keepLines w:val="0"/>
              <w:pageBreakBefore w:val="0"/>
              <w:widowControl w:val="0"/>
              <w:kinsoku/>
              <w:wordWrap/>
              <w:overflowPunct/>
              <w:topLinePunct w:val="0"/>
              <w:autoSpaceDE/>
              <w:autoSpaceDN/>
              <w:bidi w:val="0"/>
              <w:adjustRightInd/>
              <w:snapToGrid/>
              <w:spacing w:after="0" w:line="360" w:lineRule="auto"/>
              <w:ind w:left="0" w:leftChars="0" w:firstLine="480" w:firstLineChars="200"/>
              <w:textAlignment w:val="auto"/>
              <w:rPr>
                <w:rFonts w:hint="default" w:asciiTheme="minorEastAsia" w:hAnsiTheme="minorEastAsia" w:cstheme="minorEastAsia"/>
                <w:color w:val="000000" w:themeColor="text1"/>
                <w:sz w:val="24"/>
                <w:szCs w:val="24"/>
                <w:highlight w:val="none"/>
                <w:lang w:val="en-US" w:eastAsia="zh-CN"/>
                <w14:textFill>
                  <w14:solidFill>
                    <w14:schemeClr w14:val="tx1"/>
                  </w14:solidFill>
                </w14:textFill>
              </w:rPr>
            </w:pPr>
            <w:r>
              <w:rPr>
                <w:rFonts w:hint="eastAsia" w:asciiTheme="minorEastAsia" w:hAnsiTheme="minorEastAsia" w:cstheme="minorEastAsia"/>
                <w:color w:val="000000" w:themeColor="text1"/>
                <w:sz w:val="24"/>
                <w:szCs w:val="24"/>
                <w:highlight w:val="none"/>
                <w:lang w:val="en-US" w:eastAsia="zh-CN"/>
                <w14:textFill>
                  <w14:solidFill>
                    <w14:schemeClr w14:val="tx1"/>
                  </w14:solidFill>
                </w14:textFill>
              </w:rPr>
              <w:t>设计校核贯穿各阶段，不将校核与主体设计割裂。储罐配置量应大于各油品计算容量；管道设计流量、流速和压力损失应与泵性能一致；泵工作点应满足额定流量、扬程和汽蚀条件；装车鹤位与油气回收装置能力应匹配公路发油量；防火堤有效容量、泡沫液储量和消防水量应满足最大单罐事故工况。最终对说明书、计算表和图纸中的油品名称、设备编号、管径、流向、阀门状态及安全联锁进行统一核对，保证设计边界和参数一致。</w:t>
            </w:r>
          </w:p>
          <w:p>
            <w:pPr>
              <w:numPr>
                <w:ilvl w:val="0"/>
                <w:numId w:val="0"/>
              </w:numPr>
              <w:spacing w:line="480" w:lineRule="auto"/>
              <w:ind w:leftChars="0"/>
              <w:rPr>
                <w:rFonts w:hint="eastAsia" w:asciiTheme="minorEastAsia" w:hAnsiTheme="minorEastAsia" w:eastAsiaTheme="minorEastAsia" w:cstheme="minorEastAsia"/>
                <w:color w:val="000000" w:themeColor="text1"/>
                <w:sz w:val="24"/>
                <w:szCs w:val="24"/>
                <w:highlight w:val="none"/>
                <w14:textFill>
                  <w14:solidFill>
                    <w14:schemeClr w14:val="tx1"/>
                  </w14:solidFill>
                </w14:textFill>
              </w:rPr>
            </w:pPr>
            <w:r>
              <w:rPr>
                <w:rFonts w:hint="eastAsia" w:asciiTheme="minorEastAsia" w:hAnsiTheme="minorEastAsia" w:eastAsiaTheme="minorEastAsia" w:cstheme="minorEastAsia"/>
                <w:color w:val="000000" w:themeColor="text1"/>
                <w:sz w:val="24"/>
                <w:szCs w:val="24"/>
                <w:highlight w:val="none"/>
                <w:lang w:val="en-US" w:eastAsia="zh-CN"/>
                <w14:textFill>
                  <w14:solidFill>
                    <w14:schemeClr w14:val="tx1"/>
                  </w14:solidFill>
                </w14:textFill>
              </w:rPr>
              <w:t>3.预期成果</w:t>
            </w:r>
          </w:p>
          <w:p>
            <w:pPr>
              <w:pStyle w:val="23"/>
              <w:keepNext w:val="0"/>
              <w:keepLines w:val="0"/>
              <w:pageBreakBefore w:val="0"/>
              <w:widowControl w:val="0"/>
              <w:kinsoku/>
              <w:wordWrap/>
              <w:overflowPunct/>
              <w:topLinePunct w:val="0"/>
              <w:autoSpaceDE/>
              <w:autoSpaceDN/>
              <w:bidi w:val="0"/>
              <w:adjustRightInd/>
              <w:snapToGrid/>
              <w:spacing w:after="0" w:line="360" w:lineRule="auto"/>
              <w:ind w:left="0" w:leftChars="0" w:firstLine="480" w:firstLineChars="200"/>
              <w:textAlignment w:val="auto"/>
              <w:rPr>
                <w:rFonts w:hint="default" w:asciiTheme="minorEastAsia" w:hAnsiTheme="minorEastAsia" w:cstheme="minorEastAsia"/>
                <w:color w:val="000000" w:themeColor="text1"/>
                <w:sz w:val="24"/>
                <w:szCs w:val="24"/>
                <w:highlight w:val="none"/>
                <w:lang w:val="en-US" w:eastAsia="zh-CN"/>
                <w14:textFill>
                  <w14:solidFill>
                    <w14:schemeClr w14:val="tx1"/>
                  </w14:solidFill>
                </w14:textFill>
              </w:rPr>
            </w:pPr>
            <w:r>
              <w:rPr>
                <w:rFonts w:hint="eastAsia" w:asciiTheme="minorEastAsia" w:hAnsiTheme="minorEastAsia" w:cstheme="minorEastAsia"/>
                <w:color w:val="000000" w:themeColor="text1"/>
                <w:sz w:val="24"/>
                <w:szCs w:val="24"/>
                <w:highlight w:val="none"/>
                <w:lang w:val="en-US" w:eastAsia="zh-CN"/>
                <w14:textFill>
                  <w14:solidFill>
                    <w14:schemeClr w14:val="tx1"/>
                  </w14:solidFill>
                </w14:textFill>
              </w:rPr>
              <w:t>本课题预期形成一份完整的《广州黄埔油库工艺设计》毕业设计说明书。说明书包括设计概况、油品性质与收发油方式、油库容量与等级、总平面及竖向布置、库区道路和综合管线、储罐计算与选型、输油管道和泵组计算、收油与发油工艺、倒罐与油气回收工艺、防火堤、泡沫灭火、消防给水、防雷防静电及HSE管理等内容。关键数据均具有明确来源，主要计算给出公式、参数、代入过程和校核结果，形成储罐、管道、泵组、装车及消防设施的参数汇总。</w:t>
            </w:r>
          </w:p>
          <w:p>
            <w:pPr>
              <w:pStyle w:val="23"/>
              <w:keepNext w:val="0"/>
              <w:keepLines w:val="0"/>
              <w:pageBreakBefore w:val="0"/>
              <w:widowControl w:val="0"/>
              <w:kinsoku/>
              <w:wordWrap/>
              <w:overflowPunct/>
              <w:topLinePunct w:val="0"/>
              <w:autoSpaceDE/>
              <w:autoSpaceDN/>
              <w:bidi w:val="0"/>
              <w:adjustRightInd/>
              <w:snapToGrid/>
              <w:spacing w:after="0" w:line="360" w:lineRule="auto"/>
              <w:ind w:left="0" w:leftChars="0" w:firstLine="480" w:firstLineChars="200"/>
              <w:textAlignment w:val="auto"/>
              <w:rPr>
                <w:rFonts w:hint="default" w:asciiTheme="minorEastAsia" w:hAnsiTheme="minorEastAsia" w:cstheme="minorEastAsia"/>
                <w:color w:val="000000" w:themeColor="text1"/>
                <w:sz w:val="24"/>
                <w:szCs w:val="24"/>
                <w:highlight w:val="none"/>
                <w:lang w:val="en-US" w:eastAsia="zh-CN"/>
                <w14:textFill>
                  <w14:solidFill>
                    <w14:schemeClr w14:val="tx1"/>
                  </w14:solidFill>
                </w14:textFill>
              </w:rPr>
            </w:pPr>
            <w:r>
              <w:rPr>
                <w:rFonts w:hint="eastAsia" w:asciiTheme="minorEastAsia" w:hAnsiTheme="minorEastAsia" w:cstheme="minorEastAsia"/>
                <w:color w:val="000000" w:themeColor="text1"/>
                <w:sz w:val="24"/>
                <w:szCs w:val="24"/>
                <w:highlight w:val="none"/>
                <w:lang w:val="en-US" w:eastAsia="zh-CN"/>
                <w14:textFill>
                  <w14:solidFill>
                    <w14:schemeClr w14:val="tx1"/>
                  </w14:solidFill>
                </w14:textFill>
              </w:rPr>
              <w:t>实体设计成果为一套满足12×10⁴ t/a的92号汽油、8×10⁴ t/a的95号汽油和10×10⁴ t/a的0号柴油周转任务的成品油库方案。方案配置7座5000 m³立式储罐、三套相互独立的油品管线和泵组、管道密闭收油系统、管输发油系统、公路底部装车系统、120 m³/h汽油油气回收装置以及与二级石油库相适应的消防安全设施。储罐、管道、泵组和装车能力能够相互匹配，正常收发油、同品种倒罐和检修隔离均具有固定流程。</w:t>
            </w:r>
          </w:p>
          <w:p>
            <w:pPr>
              <w:pStyle w:val="23"/>
              <w:keepNext w:val="0"/>
              <w:keepLines w:val="0"/>
              <w:pageBreakBefore w:val="0"/>
              <w:widowControl w:val="0"/>
              <w:kinsoku/>
              <w:wordWrap/>
              <w:overflowPunct/>
              <w:topLinePunct w:val="0"/>
              <w:autoSpaceDE/>
              <w:autoSpaceDN/>
              <w:bidi w:val="0"/>
              <w:adjustRightInd/>
              <w:snapToGrid/>
              <w:spacing w:after="0" w:line="360" w:lineRule="auto"/>
              <w:ind w:left="0" w:leftChars="0" w:firstLine="480" w:firstLineChars="200"/>
              <w:textAlignment w:val="auto"/>
              <w:rPr>
                <w:rFonts w:hint="default" w:asciiTheme="minorEastAsia" w:hAnsiTheme="minorEastAsia" w:cstheme="minorEastAsia"/>
                <w:color w:val="000000" w:themeColor="text1"/>
                <w:sz w:val="24"/>
                <w:szCs w:val="24"/>
                <w:highlight w:val="none"/>
                <w:lang w:val="en-US" w:eastAsia="zh-CN"/>
                <w14:textFill>
                  <w14:solidFill>
                    <w14:schemeClr w14:val="tx1"/>
                  </w14:solidFill>
                </w14:textFill>
              </w:rPr>
            </w:pPr>
            <w:r>
              <w:rPr>
                <w:rFonts w:hint="eastAsia" w:asciiTheme="minorEastAsia" w:hAnsiTheme="minorEastAsia" w:cstheme="minorEastAsia"/>
                <w:color w:val="000000" w:themeColor="text1"/>
                <w:sz w:val="24"/>
                <w:szCs w:val="24"/>
                <w:highlight w:val="none"/>
                <w:lang w:val="en-US" w:eastAsia="zh-CN"/>
                <w14:textFill>
                  <w14:solidFill>
                    <w14:schemeClr w14:val="tx1"/>
                  </w14:solidFill>
                </w14:textFill>
              </w:rPr>
              <w:t>图纸成果包括油库总平面布置图、工艺流程图和主要工艺管道布置图。总平面图表达四个功能区、7座储罐、防火堤、消防车道、装车区、辅助设施、道路和主要管廊；工艺流程图表达三种油品的收油、储存、管输发油、公路装车、倒罐、排污及油气回收关系；管道布置图表达主要设备、管线走向、管径、阀门和控制点。最终成果能够完整反映设计规模、工艺组织、设备配置和安全措施，为毕业设计评审及后续工程方案深化提供依据。</w:t>
            </w:r>
          </w:p>
        </w:tc>
        <w:tc>
          <w:tcPr>
            <w:tcW w:w="8634" w:type="dxa"/>
            <w:shd w:val="clear" w:color="auto" w:fill="auto"/>
            <w:vAlign w:val="top"/>
          </w:tcPr>
          <w:p w14:paraId="5452C5E2">
            <w:pPr>
              <w:pStyle w:val="23"/>
              <w:ind w:left="0" w:leftChars="0" w:firstLine="0" w:firstLineChars="0"/>
              <w:rPr>
                <w:rFonts w:hint="eastAsia" w:asciiTheme="minorEastAsia" w:hAnsiTheme="minorEastAsia" w:eastAsiaTheme="minorEastAsia" w:cstheme="minorEastAsia"/>
                <w:color w:val="000000" w:themeColor="text1"/>
                <w:sz w:val="24"/>
                <w:szCs w:val="24"/>
                <w:highlight w:val="none"/>
                <w:lang w:val="en-US" w:eastAsia="zh-CN"/>
                <w14:textFill>
                  <w14:solidFill>
                    <w14:schemeClr w14:val="tx1"/>
                  </w14:solidFill>
                </w14:textFill>
              </w:rPr>
            </w:pPr>
          </w:p>
        </w:tc>
      </w:tr>
      <w:tr w14:paraId="1D1763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7" w:hRule="atLeast"/>
        </w:trPr>
        <w:tc>
          <w:tcPr>
            <w:tcW w:w="8634" w:type="dxa"/>
            <w:shd w:val="clear" w:color="auto" w:fill="auto"/>
          </w:tcPr>
          <w:p w14:paraId="65875043">
            <w:pPr>
              <w:rPr>
                <w:rFonts w:hint="eastAsia" w:asciiTheme="minorEastAsia" w:hAnsiTheme="minorEastAsia" w:eastAsiaTheme="minorEastAsia" w:cstheme="minorEastAsia"/>
                <w:color w:val="000000" w:themeColor="text1"/>
                <w:sz w:val="24"/>
                <w:szCs w:val="24"/>
                <w:highlight w:val="none"/>
                <w14:textFill>
                  <w14:solidFill>
                    <w14:schemeClr w14:val="tx1"/>
                  </w14:solidFill>
                </w14:textFill>
              </w:rPr>
            </w:pPr>
            <w:r>
              <w:rPr>
                <w:rFonts w:hint="eastAsia" w:asciiTheme="minorEastAsia" w:hAnsiTheme="minorEastAsia" w:eastAsiaTheme="minorEastAsia" w:cstheme="minorEastAsia"/>
                <w:color w:val="000000" w:themeColor="text1"/>
                <w:sz w:val="24"/>
                <w:szCs w:val="24"/>
                <w:highlight w:val="none"/>
                <w14:textFill>
                  <w14:solidFill>
                    <w14:schemeClr w14:val="tx1"/>
                  </w14:solidFill>
                </w14:textFill>
              </w:rPr>
              <w:t>指导教师意见</w:t>
            </w:r>
          </w:p>
          <w:p w14:paraId="5E6E23C2">
            <w:pPr>
              <w:rPr>
                <w:rFonts w:hint="eastAsia" w:asciiTheme="minorEastAsia" w:hAnsiTheme="minorEastAsia" w:eastAsiaTheme="minorEastAsia" w:cstheme="minorEastAsia"/>
                <w:color w:val="000000" w:themeColor="text1"/>
                <w:sz w:val="24"/>
                <w:szCs w:val="24"/>
                <w:highlight w:val="none"/>
                <w:lang w:val="en-US" w:eastAsia="zh-CN"/>
                <w14:textFill>
                  <w14:solidFill>
                    <w14:schemeClr w14:val="tx1"/>
                  </w14:solidFill>
                </w14:textFill>
              </w:rPr>
            </w:pPr>
            <w:r>
              <w:rPr>
                <w:rFonts w:hint="eastAsia" w:asciiTheme="minorEastAsia" w:hAnsiTheme="minorEastAsia" w:eastAsiaTheme="minorEastAsia" w:cstheme="minorEastAsia"/>
                <w:color w:val="000000" w:themeColor="text1"/>
                <w:sz w:val="24"/>
                <w:szCs w:val="24"/>
                <w:highlight w:val="none"/>
                <w:lang w:val="en-US" w:eastAsia="zh-CN"/>
                <w14:textFill>
                  <w14:solidFill>
                    <w14:schemeClr w14:val="tx1"/>
                  </w14:solidFill>
                </w14:textFill>
              </w:rPr>
              <w:t xml:space="preserve">   </w:t>
            </w:r>
          </w:p>
          <w:p w14:paraId="3C9CE893">
            <w:pPr>
              <w:rPr>
                <w:rFonts w:hint="eastAsia" w:asciiTheme="minorEastAsia" w:hAnsiTheme="minorEastAsia" w:eastAsiaTheme="minorEastAsia" w:cstheme="minorEastAsia"/>
                <w:color w:val="000000" w:themeColor="text1"/>
                <w:sz w:val="24"/>
                <w:szCs w:val="24"/>
                <w:highlight w:val="none"/>
                <w14:textFill>
                  <w14:solidFill>
                    <w14:schemeClr w14:val="tx1"/>
                  </w14:solidFill>
                </w14:textFill>
              </w:rPr>
            </w:pPr>
            <w:r>
              <w:rPr>
                <w:rFonts w:hint="eastAsia" w:asciiTheme="minorEastAsia" w:hAnsiTheme="minorEastAsia" w:eastAsiaTheme="minorEastAsia" w:cstheme="minorEastAsia"/>
                <w:color w:val="000000" w:themeColor="text1"/>
                <w:sz w:val="24"/>
                <w:szCs w:val="24"/>
                <w:highlight w:val="none"/>
                <w14:textFill>
                  <w14:solidFill>
                    <w14:schemeClr w14:val="tx1"/>
                  </w14:solidFill>
                </w14:textFill>
              </w:rPr>
              <w:t xml:space="preserve">                    </w:t>
            </w:r>
          </w:p>
          <w:p w14:paraId="308BDDA5">
            <w:pPr>
              <w:rPr>
                <w:rFonts w:hint="eastAsia" w:asciiTheme="minorEastAsia" w:hAnsiTheme="minorEastAsia" w:eastAsiaTheme="minorEastAsia" w:cstheme="minorEastAsia"/>
                <w:color w:val="000000" w:themeColor="text1"/>
                <w:sz w:val="24"/>
                <w:szCs w:val="24"/>
                <w:highlight w:val="none"/>
                <w14:textFill>
                  <w14:solidFill>
                    <w14:schemeClr w14:val="tx1"/>
                  </w14:solidFill>
                </w14:textFill>
              </w:rPr>
            </w:pPr>
            <w:r>
              <w:rPr>
                <w:rFonts w:hint="eastAsia" w:asciiTheme="minorEastAsia" w:hAnsiTheme="minorEastAsia" w:eastAsiaTheme="minorEastAsia" w:cstheme="minorEastAsia"/>
                <w:color w:val="000000" w:themeColor="text1"/>
                <w:sz w:val="24"/>
                <w:szCs w:val="24"/>
                <w:highlight w:val="none"/>
                <w14:textFill>
                  <w14:solidFill>
                    <w14:schemeClr w14:val="tx1"/>
                  </w14:solidFill>
                </w14:textFill>
              </w:rPr>
              <w:t xml:space="preserve">                          </w:t>
            </w:r>
          </w:p>
          <w:p w14:paraId="58F88CBC">
            <w:pPr>
              <w:pStyle w:val="23"/>
              <w:rPr>
                <w:rFonts w:hint="eastAsia" w:asciiTheme="minorEastAsia" w:hAnsiTheme="minorEastAsia" w:eastAsiaTheme="minorEastAsia" w:cstheme="minorEastAsia"/>
                <w:sz w:val="24"/>
                <w:szCs w:val="24"/>
                <w:highlight w:val="none"/>
              </w:rPr>
            </w:pPr>
          </w:p>
          <w:p w14:paraId="5AAA5176">
            <w:pPr>
              <w:ind w:firstLine="5760" w:firstLineChars="2400"/>
              <w:rPr>
                <w:rFonts w:hint="eastAsia" w:asciiTheme="minorEastAsia" w:hAnsiTheme="minorEastAsia" w:eastAsiaTheme="minorEastAsia" w:cstheme="minorEastAsia"/>
                <w:color w:val="000000" w:themeColor="text1"/>
                <w:sz w:val="24"/>
                <w:szCs w:val="24"/>
                <w:highlight w:val="none"/>
                <w14:textFill>
                  <w14:solidFill>
                    <w14:schemeClr w14:val="tx1"/>
                  </w14:solidFill>
                </w14:textFill>
              </w:rPr>
            </w:pPr>
            <w:r>
              <w:rPr>
                <w:rFonts w:hint="eastAsia" w:asciiTheme="minorEastAsia" w:hAnsiTheme="minorEastAsia" w:eastAsiaTheme="minorEastAsia" w:cstheme="minorEastAsia"/>
                <w:color w:val="000000" w:themeColor="text1"/>
                <w:sz w:val="24"/>
                <w:szCs w:val="24"/>
                <w:highlight w:val="none"/>
                <w14:textFill>
                  <w14:solidFill>
                    <w14:schemeClr w14:val="tx1"/>
                  </w14:solidFill>
                </w14:textFill>
              </w:rPr>
              <w:t>签名：</w:t>
            </w:r>
          </w:p>
          <w:p w14:paraId="74984D39">
            <w:pPr>
              <w:rPr>
                <w:rFonts w:hint="eastAsia" w:asciiTheme="minorEastAsia" w:hAnsiTheme="minorEastAsia" w:eastAsiaTheme="minorEastAsia" w:cstheme="minorEastAsia"/>
                <w:color w:val="000000" w:themeColor="text1"/>
                <w:sz w:val="24"/>
                <w:szCs w:val="24"/>
                <w:highlight w:val="none"/>
                <w14:textFill>
                  <w14:solidFill>
                    <w14:schemeClr w14:val="tx1"/>
                  </w14:solidFill>
                </w14:textFill>
              </w:rPr>
            </w:pPr>
          </w:p>
          <w:p w14:paraId="3815C3A3">
            <w:pPr>
              <w:rPr>
                <w:rFonts w:hint="eastAsia" w:asciiTheme="minorEastAsia" w:hAnsiTheme="minorEastAsia" w:eastAsiaTheme="minorEastAsia" w:cstheme="minorEastAsia"/>
                <w:color w:val="000000" w:themeColor="text1"/>
                <w:sz w:val="24"/>
                <w:szCs w:val="24"/>
                <w:highlight w:val="none"/>
                <w14:textFill>
                  <w14:solidFill>
                    <w14:schemeClr w14:val="tx1"/>
                  </w14:solidFill>
                </w14:textFill>
              </w:rPr>
            </w:pPr>
            <w:r>
              <w:rPr>
                <w:rFonts w:hint="eastAsia" w:asciiTheme="minorEastAsia" w:hAnsiTheme="minorEastAsia" w:eastAsiaTheme="minorEastAsia" w:cstheme="minorEastAsia"/>
                <w:color w:val="000000" w:themeColor="text1"/>
                <w:sz w:val="24"/>
                <w:szCs w:val="24"/>
                <w:highlight w:val="none"/>
                <w14:textFill>
                  <w14:solidFill>
                    <w14:schemeClr w14:val="tx1"/>
                  </w14:solidFill>
                </w14:textFill>
              </w:rPr>
              <w:t xml:space="preserve">                                                   </w:t>
            </w:r>
            <w:r>
              <w:rPr>
                <w:rFonts w:hint="eastAsia" w:asciiTheme="minorEastAsia" w:hAnsiTheme="minorEastAsia" w:eastAsiaTheme="minorEastAsia" w:cstheme="minorEastAsia"/>
                <w:color w:val="000000" w:themeColor="text1"/>
                <w:sz w:val="24"/>
                <w:szCs w:val="24"/>
                <w:highlight w:val="none"/>
                <w:lang w:val="en-US" w:eastAsia="zh-CN"/>
                <w14:textFill>
                  <w14:solidFill>
                    <w14:schemeClr w14:val="tx1"/>
                  </w14:solidFill>
                </w14:textFill>
              </w:rPr>
              <w:t xml:space="preserve">  </w:t>
            </w:r>
            <w:r>
              <w:rPr>
                <w:rFonts w:hint="eastAsia" w:asciiTheme="minorEastAsia" w:hAnsiTheme="minorEastAsia" w:eastAsiaTheme="minorEastAsia" w:cstheme="minorEastAsia"/>
                <w:color w:val="000000" w:themeColor="text1"/>
                <w:sz w:val="24"/>
                <w:szCs w:val="24"/>
                <w:highlight w:val="none"/>
                <w14:textFill>
                  <w14:solidFill>
                    <w14:schemeClr w14:val="tx1"/>
                  </w14:solidFill>
                </w14:textFill>
              </w:rPr>
              <w:t xml:space="preserve">   年   月   日</w:t>
            </w:r>
          </w:p>
        </w:tc>
        <w:tc>
          <w:tcPr>
            <w:tcW w:w="8634" w:type="dxa"/>
            <w:shd w:val="clear" w:color="auto" w:fill="auto"/>
          </w:tcPr>
          <w:p w14:paraId="0F5DA053">
            <w:pPr>
              <w:rPr>
                <w:rFonts w:hint="eastAsia" w:asciiTheme="minorEastAsia" w:hAnsiTheme="minorEastAsia" w:eastAsiaTheme="minorEastAsia" w:cstheme="minorEastAsia"/>
                <w:color w:val="000000" w:themeColor="text1"/>
                <w:sz w:val="24"/>
                <w:szCs w:val="24"/>
                <w:highlight w:val="none"/>
                <w14:textFill>
                  <w14:solidFill>
                    <w14:schemeClr w14:val="tx1"/>
                  </w14:solidFill>
                </w14:textFill>
              </w:rPr>
            </w:pPr>
          </w:p>
        </w:tc>
      </w:tr>
      <w:tr w14:paraId="7C647E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634" w:type="dxa"/>
            <w:shd w:val="clear" w:color="auto" w:fill="auto"/>
          </w:tcPr>
          <w:p w14:paraId="5B6C021A">
            <w:pPr>
              <w:rPr>
                <w:rFonts w:hint="eastAsia" w:asciiTheme="minorEastAsia" w:hAnsiTheme="minorEastAsia" w:eastAsiaTheme="minorEastAsia" w:cstheme="minorEastAsia"/>
                <w:color w:val="000000" w:themeColor="text1"/>
                <w:sz w:val="24"/>
                <w:szCs w:val="24"/>
                <w:highlight w:val="none"/>
                <w14:textFill>
                  <w14:solidFill>
                    <w14:schemeClr w14:val="tx1"/>
                  </w14:solidFill>
                </w14:textFill>
              </w:rPr>
            </w:pPr>
            <w:r>
              <w:rPr>
                <w:rFonts w:hint="eastAsia" w:asciiTheme="minorEastAsia" w:hAnsiTheme="minorEastAsia" w:eastAsiaTheme="minorEastAsia" w:cstheme="minorEastAsia"/>
                <w:color w:val="000000" w:themeColor="text1"/>
                <w:sz w:val="24"/>
                <w:szCs w:val="24"/>
                <w:highlight w:val="none"/>
                <w14:textFill>
                  <w14:solidFill>
                    <w14:schemeClr w14:val="tx1"/>
                  </w14:solidFill>
                </w14:textFill>
              </w:rPr>
              <w:t>专业意见</w:t>
            </w:r>
          </w:p>
          <w:p w14:paraId="1F7BC219">
            <w:pPr>
              <w:jc w:val="right"/>
              <w:rPr>
                <w:rFonts w:hint="eastAsia" w:asciiTheme="minorEastAsia" w:hAnsiTheme="minorEastAsia" w:eastAsiaTheme="minorEastAsia" w:cstheme="minorEastAsia"/>
                <w:color w:val="000000" w:themeColor="text1"/>
                <w:sz w:val="24"/>
                <w:szCs w:val="24"/>
                <w:highlight w:val="none"/>
                <w14:textFill>
                  <w14:solidFill>
                    <w14:schemeClr w14:val="tx1"/>
                  </w14:solidFill>
                </w14:textFill>
              </w:rPr>
            </w:pPr>
            <w:r>
              <w:rPr>
                <w:rFonts w:hint="eastAsia" w:asciiTheme="minorEastAsia" w:hAnsiTheme="minorEastAsia" w:eastAsiaTheme="minorEastAsia" w:cstheme="minorEastAsia"/>
                <w:color w:val="000000" w:themeColor="text1"/>
                <w:sz w:val="24"/>
                <w:szCs w:val="24"/>
                <w:highlight w:val="none"/>
                <w14:textFill>
                  <w14:solidFill>
                    <w14:schemeClr w14:val="tx1"/>
                  </w14:solidFill>
                </w14:textFill>
              </w:rPr>
              <w:t xml:space="preserve">  </w:t>
            </w:r>
          </w:p>
          <w:p w14:paraId="600EC4A5">
            <w:pPr>
              <w:jc w:val="right"/>
              <w:rPr>
                <w:rFonts w:hint="eastAsia" w:asciiTheme="minorEastAsia" w:hAnsiTheme="minorEastAsia" w:eastAsiaTheme="minorEastAsia" w:cstheme="minorEastAsia"/>
                <w:color w:val="000000" w:themeColor="text1"/>
                <w:sz w:val="24"/>
                <w:szCs w:val="24"/>
                <w:highlight w:val="none"/>
                <w14:textFill>
                  <w14:solidFill>
                    <w14:schemeClr w14:val="tx1"/>
                  </w14:solidFill>
                </w14:textFill>
              </w:rPr>
            </w:pPr>
          </w:p>
          <w:p w14:paraId="40214AF1">
            <w:pPr>
              <w:pStyle w:val="23"/>
              <w:rPr>
                <w:rFonts w:hint="eastAsia" w:asciiTheme="minorEastAsia" w:hAnsiTheme="minorEastAsia" w:eastAsiaTheme="minorEastAsia" w:cstheme="minorEastAsia"/>
                <w:sz w:val="24"/>
                <w:szCs w:val="24"/>
                <w:highlight w:val="none"/>
              </w:rPr>
            </w:pPr>
          </w:p>
          <w:p w14:paraId="2A6C3B0C">
            <w:pPr>
              <w:pStyle w:val="23"/>
              <w:rPr>
                <w:rFonts w:hint="eastAsia" w:asciiTheme="minorEastAsia" w:hAnsiTheme="minorEastAsia" w:eastAsiaTheme="minorEastAsia" w:cstheme="minorEastAsia"/>
                <w:sz w:val="24"/>
                <w:szCs w:val="24"/>
                <w:highlight w:val="none"/>
              </w:rPr>
            </w:pPr>
          </w:p>
          <w:p w14:paraId="253C2A1C">
            <w:pPr>
              <w:pStyle w:val="23"/>
              <w:rPr>
                <w:rFonts w:hint="eastAsia" w:asciiTheme="minorEastAsia" w:hAnsiTheme="minorEastAsia" w:eastAsiaTheme="minorEastAsia" w:cstheme="minorEastAsia"/>
                <w:sz w:val="24"/>
                <w:szCs w:val="24"/>
                <w:highlight w:val="none"/>
              </w:rPr>
            </w:pPr>
          </w:p>
          <w:p w14:paraId="5D9F81EF">
            <w:pPr>
              <w:jc w:val="center"/>
              <w:rPr>
                <w:rFonts w:hint="eastAsia" w:asciiTheme="minorEastAsia" w:hAnsiTheme="minorEastAsia" w:eastAsiaTheme="minorEastAsia" w:cstheme="minorEastAsia"/>
                <w:color w:val="000000" w:themeColor="text1"/>
                <w:sz w:val="24"/>
                <w:szCs w:val="24"/>
                <w:highlight w:val="none"/>
                <w14:textFill>
                  <w14:solidFill>
                    <w14:schemeClr w14:val="tx1"/>
                  </w14:solidFill>
                </w14:textFill>
              </w:rPr>
            </w:pPr>
            <w:r>
              <w:rPr>
                <w:rFonts w:hint="eastAsia" w:asciiTheme="minorEastAsia" w:hAnsiTheme="minorEastAsia" w:eastAsiaTheme="minorEastAsia" w:cstheme="minorEastAsia"/>
                <w:color w:val="000000" w:themeColor="text1"/>
                <w:sz w:val="24"/>
                <w:szCs w:val="24"/>
                <w:highlight w:val="none"/>
                <w14:textFill>
                  <w14:solidFill>
                    <w14:schemeClr w14:val="tx1"/>
                  </w14:solidFill>
                </w14:textFill>
              </w:rPr>
              <w:t xml:space="preserve">                        </w:t>
            </w:r>
            <w:r>
              <w:rPr>
                <w:rFonts w:hint="eastAsia" w:asciiTheme="minorEastAsia" w:hAnsiTheme="minorEastAsia" w:eastAsiaTheme="minorEastAsia" w:cstheme="minorEastAsia"/>
                <w:color w:val="000000" w:themeColor="text1"/>
                <w:sz w:val="24"/>
                <w:szCs w:val="24"/>
                <w:highlight w:val="none"/>
                <w:lang w:val="en-US" w:eastAsia="zh-CN"/>
                <w14:textFill>
                  <w14:solidFill>
                    <w14:schemeClr w14:val="tx1"/>
                  </w14:solidFill>
                </w14:textFill>
              </w:rPr>
              <w:t xml:space="preserve">        </w:t>
            </w:r>
            <w:r>
              <w:rPr>
                <w:rFonts w:hint="eastAsia" w:asciiTheme="minorEastAsia" w:hAnsiTheme="minorEastAsia" w:eastAsiaTheme="minorEastAsia" w:cstheme="minorEastAsia"/>
                <w:color w:val="000000" w:themeColor="text1"/>
                <w:sz w:val="24"/>
                <w:szCs w:val="24"/>
                <w:highlight w:val="none"/>
                <w14:textFill>
                  <w14:solidFill>
                    <w14:schemeClr w14:val="tx1"/>
                  </w14:solidFill>
                </w14:textFill>
              </w:rPr>
              <w:t>签名：</w:t>
            </w:r>
          </w:p>
          <w:p w14:paraId="76045147">
            <w:pPr>
              <w:rPr>
                <w:rFonts w:hint="eastAsia" w:asciiTheme="minorEastAsia" w:hAnsiTheme="minorEastAsia" w:eastAsiaTheme="minorEastAsia" w:cstheme="minorEastAsia"/>
                <w:color w:val="000000" w:themeColor="text1"/>
                <w:sz w:val="24"/>
                <w:szCs w:val="24"/>
                <w:highlight w:val="none"/>
                <w14:textFill>
                  <w14:solidFill>
                    <w14:schemeClr w14:val="tx1"/>
                  </w14:solidFill>
                </w14:textFill>
              </w:rPr>
            </w:pPr>
          </w:p>
          <w:p w14:paraId="4E997EB9">
            <w:pPr>
              <w:rPr>
                <w:rFonts w:hint="eastAsia" w:asciiTheme="minorEastAsia" w:hAnsiTheme="minorEastAsia" w:eastAsiaTheme="minorEastAsia" w:cstheme="minorEastAsia"/>
                <w:color w:val="000000" w:themeColor="text1"/>
                <w:sz w:val="24"/>
                <w:szCs w:val="24"/>
                <w:highlight w:val="none"/>
                <w14:textFill>
                  <w14:solidFill>
                    <w14:schemeClr w14:val="tx1"/>
                  </w14:solidFill>
                </w14:textFill>
              </w:rPr>
            </w:pPr>
            <w:r>
              <w:rPr>
                <w:rFonts w:hint="eastAsia" w:asciiTheme="minorEastAsia" w:hAnsiTheme="minorEastAsia" w:eastAsiaTheme="minorEastAsia" w:cstheme="minorEastAsia"/>
                <w:color w:val="000000" w:themeColor="text1"/>
                <w:sz w:val="24"/>
                <w:szCs w:val="24"/>
                <w:highlight w:val="none"/>
                <w14:textFill>
                  <w14:solidFill>
                    <w14:schemeClr w14:val="tx1"/>
                  </w14:solidFill>
                </w14:textFill>
              </w:rPr>
              <w:t xml:space="preserve">                                                        年   月   日</w:t>
            </w:r>
          </w:p>
        </w:tc>
        <w:tc>
          <w:tcPr>
            <w:tcW w:w="8634" w:type="dxa"/>
            <w:shd w:val="clear" w:color="auto" w:fill="auto"/>
          </w:tcPr>
          <w:p w14:paraId="55293A45">
            <w:pPr>
              <w:rPr>
                <w:rFonts w:hint="eastAsia" w:asciiTheme="minorEastAsia" w:hAnsiTheme="minorEastAsia" w:eastAsiaTheme="minorEastAsia" w:cstheme="minorEastAsia"/>
                <w:color w:val="000000" w:themeColor="text1"/>
                <w:sz w:val="24"/>
                <w:szCs w:val="24"/>
                <w:highlight w:val="none"/>
                <w14:textFill>
                  <w14:solidFill>
                    <w14:schemeClr w14:val="tx1"/>
                  </w14:solidFill>
                </w14:textFill>
              </w:rPr>
            </w:pPr>
          </w:p>
        </w:tc>
      </w:tr>
      <w:tr w14:paraId="7031D4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26" w:hRule="atLeast"/>
        </w:trPr>
        <w:tc>
          <w:tcPr>
            <w:tcW w:w="8634" w:type="dxa"/>
            <w:shd w:val="clear" w:color="auto" w:fill="auto"/>
          </w:tcPr>
          <w:p w14:paraId="1D194DFD">
            <w:pPr>
              <w:rPr>
                <w:rFonts w:hint="eastAsia" w:asciiTheme="minorEastAsia" w:hAnsiTheme="minorEastAsia" w:eastAsiaTheme="minorEastAsia" w:cstheme="minorEastAsia"/>
                <w:color w:val="000000" w:themeColor="text1"/>
                <w:sz w:val="24"/>
                <w:szCs w:val="24"/>
                <w:highlight w:val="none"/>
                <w14:textFill>
                  <w14:solidFill>
                    <w14:schemeClr w14:val="tx1"/>
                  </w14:solidFill>
                </w14:textFill>
              </w:rPr>
            </w:pPr>
          </w:p>
          <w:p w14:paraId="1D41E580">
            <w:pPr>
              <w:rPr>
                <w:rFonts w:hint="eastAsia" w:asciiTheme="minorEastAsia" w:hAnsiTheme="minorEastAsia" w:eastAsiaTheme="minorEastAsia" w:cstheme="minorEastAsia"/>
                <w:color w:val="000000" w:themeColor="text1"/>
                <w:sz w:val="24"/>
                <w:szCs w:val="24"/>
                <w:highlight w:val="none"/>
                <w14:textFill>
                  <w14:solidFill>
                    <w14:schemeClr w14:val="tx1"/>
                  </w14:solidFill>
                </w14:textFill>
              </w:rPr>
            </w:pPr>
            <w:r>
              <w:rPr>
                <w:rFonts w:hint="eastAsia" w:asciiTheme="minorEastAsia" w:hAnsiTheme="minorEastAsia" w:eastAsiaTheme="minorEastAsia" w:cstheme="minorEastAsia"/>
                <w:color w:val="000000" w:themeColor="text1"/>
                <w:sz w:val="24"/>
                <w:szCs w:val="24"/>
                <w:highlight w:val="none"/>
                <w14:textFill>
                  <w14:solidFill>
                    <w14:schemeClr w14:val="tx1"/>
                  </w14:solidFill>
                </w14:textFill>
              </w:rPr>
              <w:t>学院审核意见</w:t>
            </w:r>
          </w:p>
          <w:p w14:paraId="0FCD44D0">
            <w:pPr>
              <w:rPr>
                <w:rFonts w:hint="eastAsia" w:asciiTheme="minorEastAsia" w:hAnsiTheme="minorEastAsia" w:eastAsiaTheme="minorEastAsia" w:cstheme="minorEastAsia"/>
                <w:color w:val="000000" w:themeColor="text1"/>
                <w:sz w:val="24"/>
                <w:szCs w:val="24"/>
                <w:highlight w:val="none"/>
                <w14:textFill>
                  <w14:solidFill>
                    <w14:schemeClr w14:val="tx1"/>
                  </w14:solidFill>
                </w14:textFill>
              </w:rPr>
            </w:pPr>
          </w:p>
          <w:p w14:paraId="02BF7120">
            <w:pPr>
              <w:pStyle w:val="23"/>
              <w:rPr>
                <w:rFonts w:hint="eastAsia" w:asciiTheme="minorEastAsia" w:hAnsiTheme="minorEastAsia" w:eastAsiaTheme="minorEastAsia" w:cstheme="minorEastAsia"/>
                <w:color w:val="000000" w:themeColor="text1"/>
                <w:sz w:val="24"/>
                <w:szCs w:val="24"/>
                <w:highlight w:val="none"/>
                <w14:textFill>
                  <w14:solidFill>
                    <w14:schemeClr w14:val="tx1"/>
                  </w14:solidFill>
                </w14:textFill>
              </w:rPr>
            </w:pPr>
          </w:p>
          <w:p w14:paraId="64336CBB">
            <w:pPr>
              <w:pStyle w:val="23"/>
              <w:rPr>
                <w:rFonts w:hint="eastAsia" w:asciiTheme="minorEastAsia" w:hAnsiTheme="minorEastAsia" w:eastAsiaTheme="minorEastAsia" w:cstheme="minorEastAsia"/>
                <w:color w:val="000000" w:themeColor="text1"/>
                <w:sz w:val="24"/>
                <w:szCs w:val="24"/>
                <w:highlight w:val="none"/>
                <w14:textFill>
                  <w14:solidFill>
                    <w14:schemeClr w14:val="tx1"/>
                  </w14:solidFill>
                </w14:textFill>
              </w:rPr>
            </w:pPr>
          </w:p>
          <w:p w14:paraId="43DBD0DE">
            <w:pPr>
              <w:rPr>
                <w:rFonts w:hint="eastAsia" w:asciiTheme="minorEastAsia" w:hAnsiTheme="minorEastAsia" w:eastAsiaTheme="minorEastAsia" w:cstheme="minorEastAsia"/>
                <w:color w:val="000000" w:themeColor="text1"/>
                <w:sz w:val="24"/>
                <w:szCs w:val="24"/>
                <w:highlight w:val="none"/>
                <w14:textFill>
                  <w14:solidFill>
                    <w14:schemeClr w14:val="tx1"/>
                  </w14:solidFill>
                </w14:textFill>
              </w:rPr>
            </w:pPr>
            <w:r>
              <w:rPr>
                <w:rFonts w:hint="eastAsia" w:asciiTheme="minorEastAsia" w:hAnsiTheme="minorEastAsia" w:eastAsiaTheme="minorEastAsia" w:cstheme="minorEastAsia"/>
                <w:color w:val="000000" w:themeColor="text1"/>
                <w:sz w:val="24"/>
                <w:szCs w:val="24"/>
                <w:highlight w:val="none"/>
                <w14:textFill>
                  <w14:solidFill>
                    <w14:schemeClr w14:val="tx1"/>
                  </w14:solidFill>
                </w14:textFill>
              </w:rPr>
              <w:t xml:space="preserve">          1.通过；        2.完善后通过；      3.不通过</w:t>
            </w:r>
          </w:p>
          <w:p w14:paraId="76D0F589">
            <w:pPr>
              <w:rPr>
                <w:rFonts w:hint="eastAsia" w:asciiTheme="minorEastAsia" w:hAnsiTheme="minorEastAsia" w:eastAsiaTheme="minorEastAsia" w:cstheme="minorEastAsia"/>
                <w:color w:val="000000" w:themeColor="text1"/>
                <w:sz w:val="24"/>
                <w:szCs w:val="24"/>
                <w:highlight w:val="none"/>
                <w14:textFill>
                  <w14:solidFill>
                    <w14:schemeClr w14:val="tx1"/>
                  </w14:solidFill>
                </w14:textFill>
              </w:rPr>
            </w:pPr>
            <w:r>
              <w:rPr>
                <w:rFonts w:hint="eastAsia" w:asciiTheme="minorEastAsia" w:hAnsiTheme="minorEastAsia" w:eastAsiaTheme="minorEastAsia" w:cstheme="minorEastAsia"/>
                <w:color w:val="000000" w:themeColor="text1"/>
                <w:sz w:val="24"/>
                <w:szCs w:val="24"/>
                <w:highlight w:val="none"/>
                <w14:textFill>
                  <w14:solidFill>
                    <w14:schemeClr w14:val="tx1"/>
                  </w14:solidFill>
                </w14:textFill>
              </w:rPr>
              <w:t xml:space="preserve">                                           </w:t>
            </w:r>
          </w:p>
          <w:p w14:paraId="4312C363">
            <w:pPr>
              <w:pStyle w:val="23"/>
              <w:rPr>
                <w:rFonts w:hint="eastAsia" w:asciiTheme="minorEastAsia" w:hAnsiTheme="minorEastAsia" w:eastAsiaTheme="minorEastAsia" w:cstheme="minorEastAsia"/>
                <w:sz w:val="24"/>
                <w:szCs w:val="24"/>
                <w:highlight w:val="none"/>
              </w:rPr>
            </w:pPr>
          </w:p>
          <w:p w14:paraId="4F9AC6E6">
            <w:pPr>
              <w:ind w:firstLine="5040" w:firstLineChars="2100"/>
              <w:rPr>
                <w:rFonts w:hint="eastAsia" w:asciiTheme="minorEastAsia" w:hAnsiTheme="minorEastAsia" w:eastAsiaTheme="minorEastAsia" w:cstheme="minorEastAsia"/>
                <w:color w:val="000000" w:themeColor="text1"/>
                <w:sz w:val="24"/>
                <w:szCs w:val="24"/>
                <w:highlight w:val="none"/>
                <w14:textFill>
                  <w14:solidFill>
                    <w14:schemeClr w14:val="tx1"/>
                  </w14:solidFill>
                </w14:textFill>
              </w:rPr>
            </w:pPr>
            <w:r>
              <w:rPr>
                <w:rFonts w:hint="eastAsia" w:asciiTheme="minorEastAsia" w:hAnsiTheme="minorEastAsia" w:eastAsiaTheme="minorEastAsia" w:cstheme="minorEastAsia"/>
                <w:color w:val="000000" w:themeColor="text1"/>
                <w:sz w:val="24"/>
                <w:szCs w:val="24"/>
                <w:highlight w:val="none"/>
                <w14:textFill>
                  <w14:solidFill>
                    <w14:schemeClr w14:val="tx1"/>
                  </w14:solidFill>
                </w14:textFill>
              </w:rPr>
              <w:t xml:space="preserve">  </w:t>
            </w:r>
            <w:r>
              <w:rPr>
                <w:rFonts w:hint="eastAsia" w:asciiTheme="minorEastAsia" w:hAnsiTheme="minorEastAsia" w:eastAsiaTheme="minorEastAsia" w:cstheme="minorEastAsia"/>
                <w:color w:val="000000" w:themeColor="text1"/>
                <w:sz w:val="24"/>
                <w:szCs w:val="24"/>
                <w:highlight w:val="none"/>
                <w:lang w:val="en-US" w:eastAsia="zh-CN"/>
                <w14:textFill>
                  <w14:solidFill>
                    <w14:schemeClr w14:val="tx1"/>
                  </w14:solidFill>
                </w14:textFill>
              </w:rPr>
              <w:t xml:space="preserve"> </w:t>
            </w:r>
            <w:r>
              <w:rPr>
                <w:rFonts w:hint="eastAsia" w:asciiTheme="minorEastAsia" w:hAnsiTheme="minorEastAsia" w:cstheme="minorEastAsia"/>
                <w:color w:val="000000" w:themeColor="text1"/>
                <w:sz w:val="24"/>
                <w:szCs w:val="24"/>
                <w:highlight w:val="none"/>
                <w:lang w:val="en-US" w:eastAsia="zh-CN"/>
                <w14:textFill>
                  <w14:solidFill>
                    <w14:schemeClr w14:val="tx1"/>
                  </w14:solidFill>
                </w14:textFill>
              </w:rPr>
              <w:t xml:space="preserve">   </w:t>
            </w:r>
            <w:r>
              <w:rPr>
                <w:rFonts w:ascii="Times New Roman" w:hAnsi="Times New Roman" w:cs="Times New Roman"/>
                <w:color w:val="000000" w:themeColor="text1"/>
                <w:sz w:val="24"/>
                <w14:textFill>
                  <w14:solidFill>
                    <w14:schemeClr w14:val="tx1"/>
                  </w14:solidFill>
                </w14:textFill>
              </w:rPr>
              <w:t>签名：</w:t>
            </w:r>
          </w:p>
          <w:p w14:paraId="75EFCB7E">
            <w:pPr>
              <w:rPr>
                <w:rFonts w:hint="eastAsia" w:asciiTheme="minorEastAsia" w:hAnsiTheme="minorEastAsia" w:eastAsiaTheme="minorEastAsia" w:cstheme="minorEastAsia"/>
                <w:color w:val="000000" w:themeColor="text1"/>
                <w:sz w:val="24"/>
                <w:szCs w:val="24"/>
                <w:highlight w:val="none"/>
                <w14:textFill>
                  <w14:solidFill>
                    <w14:schemeClr w14:val="tx1"/>
                  </w14:solidFill>
                </w14:textFill>
              </w:rPr>
            </w:pPr>
            <w:r>
              <w:rPr>
                <w:rFonts w:hint="eastAsia" w:asciiTheme="minorEastAsia" w:hAnsiTheme="minorEastAsia" w:eastAsiaTheme="minorEastAsia" w:cstheme="minorEastAsia"/>
                <w:color w:val="000000" w:themeColor="text1"/>
                <w:sz w:val="24"/>
                <w:szCs w:val="24"/>
                <w:highlight w:val="none"/>
                <w14:textFill>
                  <w14:solidFill>
                    <w14:schemeClr w14:val="tx1"/>
                  </w14:solidFill>
                </w14:textFill>
              </w:rPr>
              <w:t xml:space="preserve">                                          </w:t>
            </w:r>
          </w:p>
          <w:p w14:paraId="1F478CB6">
            <w:pPr>
              <w:ind w:firstLine="6720" w:firstLineChars="2800"/>
              <w:rPr>
                <w:rFonts w:hint="eastAsia" w:asciiTheme="minorEastAsia" w:hAnsiTheme="minorEastAsia" w:eastAsiaTheme="minorEastAsia" w:cstheme="minorEastAsia"/>
                <w:color w:val="000000" w:themeColor="text1"/>
                <w:sz w:val="24"/>
                <w:szCs w:val="24"/>
                <w:highlight w:val="none"/>
                <w14:textFill>
                  <w14:solidFill>
                    <w14:schemeClr w14:val="tx1"/>
                  </w14:solidFill>
                </w14:textFill>
              </w:rPr>
            </w:pPr>
            <w:r>
              <w:rPr>
                <w:rFonts w:hint="eastAsia" w:asciiTheme="minorEastAsia" w:hAnsiTheme="minorEastAsia" w:eastAsiaTheme="minorEastAsia" w:cstheme="minorEastAsia"/>
                <w:color w:val="000000" w:themeColor="text1"/>
                <w:sz w:val="24"/>
                <w:szCs w:val="24"/>
                <w:highlight w:val="none"/>
                <w14:textFill>
                  <w14:solidFill>
                    <w14:schemeClr w14:val="tx1"/>
                  </w14:solidFill>
                </w14:textFill>
              </w:rPr>
              <w:t>年   月   日</w:t>
            </w:r>
          </w:p>
        </w:tc>
        <w:tc>
          <w:tcPr>
            <w:tcW w:w="8634" w:type="dxa"/>
            <w:shd w:val="clear" w:color="auto" w:fill="auto"/>
          </w:tcPr>
          <w:p w14:paraId="7B915CEC">
            <w:pPr>
              <w:ind w:firstLine="6720" w:firstLineChars="2800"/>
              <w:rPr>
                <w:rFonts w:hint="eastAsia" w:asciiTheme="minorEastAsia" w:hAnsiTheme="minorEastAsia" w:eastAsiaTheme="minorEastAsia" w:cstheme="minorEastAsia"/>
                <w:color w:val="000000" w:themeColor="text1"/>
                <w:sz w:val="24"/>
                <w:szCs w:val="24"/>
                <w:highlight w:val="none"/>
                <w14:textFill>
                  <w14:solidFill>
                    <w14:schemeClr w14:val="tx1"/>
                  </w14:solidFill>
                </w14:textFill>
              </w:rPr>
            </w:pPr>
          </w:p>
        </w:tc>
      </w:tr>
    </w:tbl>
    <w:p w14:paraId="438DEDE9">
      <w:pPr>
        <w:keepNext w:val="0"/>
        <w:keepLines w:val="0"/>
        <w:pageBreakBefore w:val="0"/>
        <w:widowControl w:val="0"/>
        <w:kinsoku/>
        <w:wordWrap/>
        <w:overflowPunct/>
        <w:topLinePunct w:val="0"/>
        <w:autoSpaceDE w:val="0"/>
        <w:autoSpaceDN w:val="0"/>
        <w:bidi w:val="0"/>
        <w:adjustRightInd/>
        <w:snapToGrid w:val="0"/>
        <w:spacing w:before="0" w:beforeLines="0" w:after="0" w:afterLines="0" w:line="560" w:lineRule="exact"/>
        <w:jc w:val="center"/>
        <w:textAlignment w:val="auto"/>
        <w:rPr>
          <w:rFonts w:hint="eastAsia" w:ascii="方正小标宋简体" w:hAnsi="方正小标宋简体" w:eastAsia="方正小标宋简体" w:cs="方正小标宋简体"/>
          <w:b w:val="0"/>
          <w:bCs/>
          <w:color w:val="000000" w:themeColor="text1"/>
          <w:w w:val="90"/>
          <w:sz w:val="44"/>
          <w:szCs w:val="44"/>
          <w:highlight w:val="none"/>
          <w14:textFill>
            <w14:solidFill>
              <w14:schemeClr w14:val="tx1"/>
            </w14:solidFill>
          </w14:textFill>
        </w:rPr>
        <w:sectPr>
          <w:headerReference r:id="rId3" w:type="default"/>
          <w:footerReference r:id="rId4" w:type="default"/>
          <w:pgSz w:w="11906" w:h="16838"/>
          <w:pgMar w:top="1440" w:right="1797" w:bottom="1440" w:left="1797" w:header="851" w:footer="992" w:gutter="0"/>
          <w:pgNumType w:fmt="numberInDash"/>
          <w:cols w:space="425" w:num="1"/>
          <w:docGrid w:type="lines" w:linePitch="312" w:charSpace="0"/>
        </w:sectPr>
      </w:pPr>
    </w:p>
    <w:p w14:paraId="4C78D0F3">
      <w:pPr>
        <w:pStyle w:val="23"/>
        <w:ind w:left="0" w:leftChars="0" w:firstLine="0" w:firstLineChars="0"/>
        <w:jc w:val="both"/>
        <w:rPr>
          <w:rFonts w:hint="default"/>
          <w:lang w:val="en-US" w:eastAsia="zh-CN"/>
          <w:sz w:val="2"/>
          <w:szCs w:val="2"/>
          <w:vanish/>
        </w:rPr>
        <w:spacing w:before="0" w:after="0" w:line="20" w:lineRule="exact"/>
      </w:pPr>
    </w:p>
    <w:sectPr>
      <w:footerReference r:id="rId5" w:type="default"/>
      <w:pgSz w:w="11906" w:h="16838"/>
      <w:pgMar w:top="1701" w:right="1134" w:bottom="1417" w:left="1417" w:header="907" w:footer="850" w:gutter="0"/>
      <w:pgNumType w:fmt="numberInDash"/>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34"/>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B0D70868-6C1E-4547-90D8-741A2AA19A56}"/>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小标宋简体">
    <w:panose1 w:val="02000000000000000000"/>
    <w:charset w:val="86"/>
    <w:family w:val="script"/>
    <w:pitch w:val="default"/>
    <w:sig w:usb0="00000001" w:usb1="08000000" w:usb2="00000000" w:usb3="00000000" w:csb0="00040000" w:csb1="00000000"/>
    <w:embedRegular r:id="rId2" w:fontKey="{8FEB6C8E-24A0-4CA9-8FC9-A484078BEB1B}"/>
  </w:font>
  <w:font w:name="方正仿宋_GB2312">
    <w:panose1 w:val="02000000000000000000"/>
    <w:charset w:val="86"/>
    <w:family w:val="auto"/>
    <w:pitch w:val="default"/>
    <w:sig w:usb0="A00002BF" w:usb1="184F6CFA" w:usb2="00000012" w:usb3="00000000" w:csb0="00040001" w:csb1="00000000"/>
    <w:embedRegular r:id="rId3" w:fontKey="{ED8A102D-8C5C-45E0-A9CD-50A8F18E59DD}"/>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312ACC">
    <w:pPr>
      <w:pStyle w:val="8"/>
      <w:rPr>
        <w:lang w:val="en-US"/>
      </w:rPr>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52" name="文本框 5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E6C98C6">
                          <w:pPr>
                            <w:pStyle w:val="8"/>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18"/>
                              <w:szCs w:val="18"/>
                            </w:rPr>
                            <w:fldChar w:fldCharType="begin"/>
                          </w:r>
                          <w:r>
                            <w:rPr>
                              <w:rFonts w:hint="eastAsia" w:asciiTheme="minorEastAsia" w:hAnsiTheme="minorEastAsia" w:eastAsiaTheme="minorEastAsia" w:cstheme="minorEastAsia"/>
                              <w:sz w:val="18"/>
                              <w:szCs w:val="18"/>
                            </w:rPr>
                            <w:instrText xml:space="preserve"> PAGE  \* MERGEFORMAT </w:instrText>
                          </w:r>
                          <w:r>
                            <w:rPr>
                              <w:rFonts w:hint="eastAsia" w:asciiTheme="minorEastAsia" w:hAnsiTheme="minorEastAsia" w:eastAsiaTheme="minorEastAsia" w:cstheme="minorEastAsia"/>
                              <w:sz w:val="18"/>
                              <w:szCs w:val="18"/>
                            </w:rPr>
                            <w:fldChar w:fldCharType="separate"/>
                          </w:r>
                          <w:r>
                            <w:rPr>
                              <w:rFonts w:hint="eastAsia" w:asciiTheme="minorEastAsia" w:hAnsiTheme="minorEastAsia" w:eastAsiaTheme="minorEastAsia" w:cstheme="minorEastAsia"/>
                              <w:sz w:val="18"/>
                              <w:szCs w:val="18"/>
                            </w:rPr>
                            <w:t>- 2 -</w:t>
                          </w:r>
                          <w:r>
                            <w:rPr>
                              <w:rFonts w:hint="eastAsia" w:asciiTheme="minorEastAsia" w:hAnsiTheme="minorEastAsia" w:eastAsiaTheme="minorEastAsia" w:cstheme="minorEastAsia"/>
                              <w:sz w:val="18"/>
                              <w:szCs w:val="18"/>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P8olJwzAgAAYwQAAA4AAAAAAAAAAQAgAAAAHwEAAGRycy9lMm9Eb2MueG1sUEsF&#10;BgAAAAAGAAYAWQEAAMQFAAAAAA==&#10;">
              <v:fill on="f" focussize="0,0"/>
              <v:stroke on="f" weight="0.5pt"/>
              <v:imagedata o:title=""/>
              <o:lock v:ext="edit" aspectratio="f"/>
              <v:textbox inset="0mm,0mm,0mm,0mm" style="mso-fit-shape-to-text:t;">
                <w:txbxContent>
                  <w:p w14:paraId="7E6C98C6">
                    <w:pPr>
                      <w:pStyle w:val="8"/>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18"/>
                        <w:szCs w:val="18"/>
                      </w:rPr>
                      <w:fldChar w:fldCharType="begin"/>
                    </w:r>
                    <w:r>
                      <w:rPr>
                        <w:rFonts w:hint="eastAsia" w:asciiTheme="minorEastAsia" w:hAnsiTheme="minorEastAsia" w:eastAsiaTheme="minorEastAsia" w:cstheme="minorEastAsia"/>
                        <w:sz w:val="18"/>
                        <w:szCs w:val="18"/>
                      </w:rPr>
                      <w:instrText xml:space="preserve"> PAGE  \* MERGEFORMAT </w:instrText>
                    </w:r>
                    <w:r>
                      <w:rPr>
                        <w:rFonts w:hint="eastAsia" w:asciiTheme="minorEastAsia" w:hAnsiTheme="minorEastAsia" w:eastAsiaTheme="minorEastAsia" w:cstheme="minorEastAsia"/>
                        <w:sz w:val="18"/>
                        <w:szCs w:val="18"/>
                      </w:rPr>
                      <w:fldChar w:fldCharType="separate"/>
                    </w:r>
                    <w:r>
                      <w:rPr>
                        <w:rFonts w:hint="eastAsia" w:asciiTheme="minorEastAsia" w:hAnsiTheme="minorEastAsia" w:eastAsiaTheme="minorEastAsia" w:cstheme="minorEastAsia"/>
                        <w:sz w:val="18"/>
                        <w:szCs w:val="18"/>
                      </w:rPr>
                      <w:t>- 2 -</w:t>
                    </w:r>
                    <w:r>
                      <w:rPr>
                        <w:rFonts w:hint="eastAsia" w:asciiTheme="minorEastAsia" w:hAnsiTheme="minorEastAsia" w:eastAsiaTheme="minorEastAsia" w:cstheme="minorEastAsia"/>
                        <w:sz w:val="18"/>
                        <w:szCs w:val="18"/>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8FB16B">
    <w:pPr>
      <w:pStyle w:val="8"/>
      <w:rPr>
        <w:lang w:val="en-US"/>
      </w:rPr>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53" name="文本框 5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4727A64">
                          <w:pPr>
                            <w:pStyle w:val="8"/>
                          </w:pPr>
                          <w:r>
                            <w:fldChar w:fldCharType="begin"/>
                          </w:r>
                          <w:r>
                            <w:instrText xml:space="preserve"> PAGE  \* MERGEFORMAT </w:instrText>
                          </w:r>
                          <w:r>
                            <w:fldChar w:fldCharType="separate"/>
                          </w:r>
                          <w:r>
                            <w:t>- 9 -</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L2AA3MzAgAAYwQAAA4AAAAAAAAAAQAgAAAAHwEAAGRycy9lMm9Eb2MueG1sUEsF&#10;BgAAAAAGAAYAWQEAAMQFAAAAAA==&#10;">
              <v:fill on="f" focussize="0,0"/>
              <v:stroke on="f" weight="0.5pt"/>
              <v:imagedata o:title=""/>
              <o:lock v:ext="edit" aspectratio="f"/>
              <v:textbox inset="0mm,0mm,0mm,0mm" style="mso-fit-shape-to-text:t;">
                <w:txbxContent>
                  <w:p w14:paraId="34727A64">
                    <w:pPr>
                      <w:pStyle w:val="8"/>
                    </w:pPr>
                    <w:r>
                      <w:fldChar w:fldCharType="begin"/>
                    </w:r>
                    <w:r>
                      <w:instrText xml:space="preserve"> PAGE  \* MERGEFORMAT </w:instrText>
                    </w:r>
                    <w:r>
                      <w:fldChar w:fldCharType="separate"/>
                    </w:r>
                    <w:r>
                      <w:t>- 9 -</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6AF5FF">
    <w:pPr>
      <w:pStyle w:val="9"/>
      <w:pBdr>
        <w:bottom w:val="none" w:color="auto" w:sz="0" w:space="1"/>
      </w:pBdr>
      <w:rPr>
        <w:rFonts w:hint="eastAsia"/>
        <w:lang w:val="en-US"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AC3BB4D"/>
    <w:multiLevelType w:val="multilevel"/>
    <w:tmpl w:val="CAC3BB4D"/>
    <w:lvl w:ilvl="0" w:tentative="0">
      <w:start w:val="1"/>
      <w:numFmt w:val="decimal"/>
      <w:pStyle w:val="2"/>
      <w:lvlText w:val="第%1章"/>
      <w:lvlJc w:val="left"/>
      <w:pPr>
        <w:tabs>
          <w:tab w:val="left" w:pos="420"/>
        </w:tabs>
        <w:ind w:left="425" w:hanging="425"/>
      </w:pPr>
      <w:rPr>
        <w:rFonts w:hint="default"/>
        <w:sz w:val="24"/>
      </w:rPr>
    </w:lvl>
    <w:lvl w:ilvl="1" w:tentative="0">
      <w:start w:val="1"/>
      <w:numFmt w:val="decimal"/>
      <w:pStyle w:val="3"/>
      <w:suff w:val="nothing"/>
      <w:lvlText w:val="%1.%2."/>
      <w:lvlJc w:val="left"/>
      <w:pPr>
        <w:tabs>
          <w:tab w:val="left" w:pos="420"/>
        </w:tabs>
        <w:ind w:left="850" w:hanging="453"/>
      </w:pPr>
      <w:rPr>
        <w:rFonts w:hint="default"/>
        <w:sz w:val="24"/>
      </w:rPr>
    </w:lvl>
    <w:lvl w:ilvl="2" w:tentative="0">
      <w:start w:val="1"/>
      <w:numFmt w:val="decimal"/>
      <w:pStyle w:val="4"/>
      <w:lvlText w:val="%1.%2.%3."/>
      <w:lvlJc w:val="left"/>
      <w:pPr>
        <w:tabs>
          <w:tab w:val="left" w:pos="420"/>
        </w:tabs>
        <w:ind w:left="1508" w:hanging="708"/>
      </w:pPr>
      <w:rPr>
        <w:rFonts w:hint="default"/>
        <w:sz w:val="24"/>
      </w:rPr>
    </w:lvl>
    <w:lvl w:ilvl="3" w:tentative="0">
      <w:start w:val="1"/>
      <w:numFmt w:val="decimal"/>
      <w:lvlText w:val="%1.%2.%3.%4."/>
      <w:lvlJc w:val="left"/>
      <w:pPr>
        <w:ind w:left="2053" w:hanging="853"/>
      </w:pPr>
      <w:rPr>
        <w:rFonts w:hint="default"/>
      </w:rPr>
    </w:lvl>
    <w:lvl w:ilvl="4" w:tentative="0">
      <w:start w:val="1"/>
      <w:numFmt w:val="decimal"/>
      <w:lvlText w:val="%1.%2.%3.%4.%5."/>
      <w:lvlJc w:val="left"/>
      <w:pPr>
        <w:ind w:left="2495" w:hanging="895"/>
      </w:pPr>
      <w:rPr>
        <w:rFonts w:hint="default"/>
      </w:rPr>
    </w:lvl>
    <w:lvl w:ilvl="5" w:tentative="0">
      <w:start w:val="1"/>
      <w:numFmt w:val="decimal"/>
      <w:lvlText w:val="%1.%2.%3.%4.%5.%6."/>
      <w:lvlJc w:val="left"/>
      <w:pPr>
        <w:ind w:left="3136" w:hanging="1136"/>
      </w:pPr>
      <w:rPr>
        <w:rFonts w:hint="default"/>
      </w:rPr>
    </w:lvl>
    <w:lvl w:ilvl="6" w:tentative="0">
      <w:start w:val="1"/>
      <w:numFmt w:val="decimal"/>
      <w:lvlText w:val="%1.%2.%3.%4.%5.%6.%7."/>
      <w:lvlJc w:val="left"/>
      <w:pPr>
        <w:ind w:left="3673" w:hanging="1273"/>
      </w:pPr>
      <w:rPr>
        <w:rFonts w:hint="default"/>
      </w:rPr>
    </w:lvl>
    <w:lvl w:ilvl="7" w:tentative="0">
      <w:start w:val="1"/>
      <w:numFmt w:val="decimal"/>
      <w:lvlText w:val="%1.%2.%3.%4.%5.%6.%7.%8."/>
      <w:lvlJc w:val="left"/>
      <w:pPr>
        <w:ind w:left="4218" w:hanging="1418"/>
      </w:pPr>
      <w:rPr>
        <w:rFonts w:hint="default"/>
      </w:rPr>
    </w:lvl>
    <w:lvl w:ilvl="8" w:tentative="0">
      <w:start w:val="1"/>
      <w:numFmt w:val="decimal"/>
      <w:lvlText w:val="%1.%2.%3.%4.%5.%6.%7.%8.%9."/>
      <w:lvlJc w:val="left"/>
      <w:pPr>
        <w:ind w:left="4648" w:hanging="1448"/>
      </w:pPr>
      <w:rPr>
        <w:rFonts w:hint="default"/>
      </w:rPr>
    </w:lvl>
  </w:abstractNum>
  <w:abstractNum w:abstractNumId="1">
    <w:nsid w:val="71E7D07D"/>
    <w:multiLevelType w:val="singleLevel"/>
    <w:tmpl w:val="71E7D07D"/>
    <w:lvl w:ilvl="0" w:tentative="0">
      <w:start w:val="1"/>
      <w:numFmt w:val="chineseCounting"/>
      <w:suff w:val="nothing"/>
      <w:lvlText w:val="%1、"/>
      <w:lvlJc w:val="left"/>
      <w:rPr>
        <w:rFonts w:hint="eastAsi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saveSubsetFonts/>
  <w:bordersDoNotSurroundHeader w:val="0"/>
  <w:bordersDoNotSurroundFooter w:val="0"/>
  <w:documentProtection w:formatting="1"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WVkZDRjNjE4MTk3ODRlMjI0Nzg5MjhmMGEwNmJlZDMifQ=="/>
  </w:docVars>
  <w:rsids>
    <w:rsidRoot w:val="103941EB"/>
    <w:rsid w:val="00527BED"/>
    <w:rsid w:val="021E42F5"/>
    <w:rsid w:val="0361265C"/>
    <w:rsid w:val="040C0819"/>
    <w:rsid w:val="0421537A"/>
    <w:rsid w:val="043520A1"/>
    <w:rsid w:val="04B27B12"/>
    <w:rsid w:val="04DD7638"/>
    <w:rsid w:val="05093353"/>
    <w:rsid w:val="0596483F"/>
    <w:rsid w:val="0691317E"/>
    <w:rsid w:val="06DD7C0F"/>
    <w:rsid w:val="07AA637F"/>
    <w:rsid w:val="07B215FB"/>
    <w:rsid w:val="080C24F8"/>
    <w:rsid w:val="0A193C90"/>
    <w:rsid w:val="0A5A676F"/>
    <w:rsid w:val="0CAC2B9A"/>
    <w:rsid w:val="0D985C36"/>
    <w:rsid w:val="0F4731AF"/>
    <w:rsid w:val="103941EB"/>
    <w:rsid w:val="10944070"/>
    <w:rsid w:val="10D543B3"/>
    <w:rsid w:val="11F56363"/>
    <w:rsid w:val="125A71F7"/>
    <w:rsid w:val="128D521B"/>
    <w:rsid w:val="129C214C"/>
    <w:rsid w:val="12E23B09"/>
    <w:rsid w:val="134E6759"/>
    <w:rsid w:val="150177FB"/>
    <w:rsid w:val="15B77F45"/>
    <w:rsid w:val="168801D3"/>
    <w:rsid w:val="170831C7"/>
    <w:rsid w:val="17317A68"/>
    <w:rsid w:val="17BD3EAD"/>
    <w:rsid w:val="183F23B9"/>
    <w:rsid w:val="1843030F"/>
    <w:rsid w:val="1901426D"/>
    <w:rsid w:val="19244CD6"/>
    <w:rsid w:val="197605ED"/>
    <w:rsid w:val="19C0552F"/>
    <w:rsid w:val="1ADA2CED"/>
    <w:rsid w:val="1B193AF0"/>
    <w:rsid w:val="1BB82AAA"/>
    <w:rsid w:val="1BCB48C1"/>
    <w:rsid w:val="1C3D736A"/>
    <w:rsid w:val="1CCD6C60"/>
    <w:rsid w:val="1D052B9C"/>
    <w:rsid w:val="1EBE78FF"/>
    <w:rsid w:val="20580C17"/>
    <w:rsid w:val="20A756FA"/>
    <w:rsid w:val="20E56222"/>
    <w:rsid w:val="21932171"/>
    <w:rsid w:val="224E6204"/>
    <w:rsid w:val="22692ECB"/>
    <w:rsid w:val="23D711EC"/>
    <w:rsid w:val="23FC5FB8"/>
    <w:rsid w:val="25576DC4"/>
    <w:rsid w:val="2798368F"/>
    <w:rsid w:val="27E40FE2"/>
    <w:rsid w:val="27F03E2A"/>
    <w:rsid w:val="290D4568"/>
    <w:rsid w:val="294D3731"/>
    <w:rsid w:val="29780915"/>
    <w:rsid w:val="298231EA"/>
    <w:rsid w:val="2A816FBC"/>
    <w:rsid w:val="2B3A609F"/>
    <w:rsid w:val="2B762899"/>
    <w:rsid w:val="2BEE5BD6"/>
    <w:rsid w:val="2FD8767E"/>
    <w:rsid w:val="31DF7DE0"/>
    <w:rsid w:val="32393E38"/>
    <w:rsid w:val="32871912"/>
    <w:rsid w:val="33CA3782"/>
    <w:rsid w:val="35BA34DA"/>
    <w:rsid w:val="35D72EE3"/>
    <w:rsid w:val="35EF74CF"/>
    <w:rsid w:val="36455341"/>
    <w:rsid w:val="36BA2868"/>
    <w:rsid w:val="36DD1132"/>
    <w:rsid w:val="37AF0235"/>
    <w:rsid w:val="37F8706F"/>
    <w:rsid w:val="383374BF"/>
    <w:rsid w:val="386A72E1"/>
    <w:rsid w:val="39B262AE"/>
    <w:rsid w:val="39E362DD"/>
    <w:rsid w:val="3B0039E9"/>
    <w:rsid w:val="3B0E2C74"/>
    <w:rsid w:val="3C37397E"/>
    <w:rsid w:val="3C5F2E1D"/>
    <w:rsid w:val="3CA20C0F"/>
    <w:rsid w:val="3F3423F7"/>
    <w:rsid w:val="40D43E92"/>
    <w:rsid w:val="414548A4"/>
    <w:rsid w:val="41DC38CA"/>
    <w:rsid w:val="430D6695"/>
    <w:rsid w:val="44AC50DD"/>
    <w:rsid w:val="450A19D1"/>
    <w:rsid w:val="4594234D"/>
    <w:rsid w:val="45DF48DC"/>
    <w:rsid w:val="46AD34A8"/>
    <w:rsid w:val="46C92DA7"/>
    <w:rsid w:val="484F3E57"/>
    <w:rsid w:val="48E704DA"/>
    <w:rsid w:val="49A64783"/>
    <w:rsid w:val="49CF62A7"/>
    <w:rsid w:val="4AC40AD3"/>
    <w:rsid w:val="4BD7025D"/>
    <w:rsid w:val="4C6B33F0"/>
    <w:rsid w:val="4C701556"/>
    <w:rsid w:val="4CD07462"/>
    <w:rsid w:val="4E2D705C"/>
    <w:rsid w:val="4E571C5E"/>
    <w:rsid w:val="4EEF1E97"/>
    <w:rsid w:val="4F6050C6"/>
    <w:rsid w:val="50212524"/>
    <w:rsid w:val="50906EF3"/>
    <w:rsid w:val="510F4A72"/>
    <w:rsid w:val="51AB479B"/>
    <w:rsid w:val="52D528B2"/>
    <w:rsid w:val="542773EF"/>
    <w:rsid w:val="54E63D3C"/>
    <w:rsid w:val="55641BC1"/>
    <w:rsid w:val="5665221F"/>
    <w:rsid w:val="578C7028"/>
    <w:rsid w:val="57B62775"/>
    <w:rsid w:val="587A0EC6"/>
    <w:rsid w:val="58BB0463"/>
    <w:rsid w:val="58DE2BED"/>
    <w:rsid w:val="5A9D7BEB"/>
    <w:rsid w:val="5B5404A1"/>
    <w:rsid w:val="5B772C72"/>
    <w:rsid w:val="5C205D85"/>
    <w:rsid w:val="5C3F1B9C"/>
    <w:rsid w:val="5E341674"/>
    <w:rsid w:val="5E97484A"/>
    <w:rsid w:val="5EA62054"/>
    <w:rsid w:val="5EB629D1"/>
    <w:rsid w:val="5EE94B54"/>
    <w:rsid w:val="5FD17AC2"/>
    <w:rsid w:val="60865933"/>
    <w:rsid w:val="60D23C2B"/>
    <w:rsid w:val="61587D6F"/>
    <w:rsid w:val="61CA737D"/>
    <w:rsid w:val="61CD0651"/>
    <w:rsid w:val="6223212B"/>
    <w:rsid w:val="62344338"/>
    <w:rsid w:val="62D17DD9"/>
    <w:rsid w:val="645110EF"/>
    <w:rsid w:val="648E5C09"/>
    <w:rsid w:val="65411908"/>
    <w:rsid w:val="66F61471"/>
    <w:rsid w:val="672229B1"/>
    <w:rsid w:val="68B473FF"/>
    <w:rsid w:val="68FA5721"/>
    <w:rsid w:val="691E364C"/>
    <w:rsid w:val="6A7E25F5"/>
    <w:rsid w:val="6AE352CC"/>
    <w:rsid w:val="6B6E044D"/>
    <w:rsid w:val="6DD830E8"/>
    <w:rsid w:val="6DE76703"/>
    <w:rsid w:val="6E1F40EF"/>
    <w:rsid w:val="6E2A4841"/>
    <w:rsid w:val="6E433F5B"/>
    <w:rsid w:val="6F0B6421"/>
    <w:rsid w:val="719D3191"/>
    <w:rsid w:val="7254082D"/>
    <w:rsid w:val="72A359D6"/>
    <w:rsid w:val="72F654FA"/>
    <w:rsid w:val="73AF3484"/>
    <w:rsid w:val="7412157E"/>
    <w:rsid w:val="745D6D46"/>
    <w:rsid w:val="754826B7"/>
    <w:rsid w:val="7634762B"/>
    <w:rsid w:val="76911902"/>
    <w:rsid w:val="76E557A9"/>
    <w:rsid w:val="7A4776B9"/>
    <w:rsid w:val="7B4D0E37"/>
    <w:rsid w:val="7BC9569A"/>
    <w:rsid w:val="7C974C60"/>
    <w:rsid w:val="7CB71996"/>
    <w:rsid w:val="7CDF3F7D"/>
    <w:rsid w:val="7D836D7A"/>
    <w:rsid w:val="7D990F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1"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autoRedefine/>
    <w:qFormat/>
    <w:uiPriority w:val="1"/>
    <w:pPr>
      <w:numPr>
        <w:ilvl w:val="0"/>
        <w:numId w:val="1"/>
      </w:numPr>
      <w:spacing w:line="400" w:lineRule="exact"/>
      <w:ind w:left="425" w:hanging="425"/>
      <w:outlineLvl w:val="0"/>
    </w:pPr>
    <w:rPr>
      <w:rFonts w:eastAsia="宋体" w:asciiTheme="minorAscii" w:hAnsiTheme="minorAscii"/>
      <w:bCs/>
      <w:sz w:val="24"/>
      <w:szCs w:val="32"/>
    </w:rPr>
  </w:style>
  <w:style w:type="paragraph" w:styleId="3">
    <w:name w:val="heading 2"/>
    <w:basedOn w:val="1"/>
    <w:next w:val="1"/>
    <w:link w:val="27"/>
    <w:unhideWhenUsed/>
    <w:qFormat/>
    <w:uiPriority w:val="0"/>
    <w:pPr>
      <w:numPr>
        <w:ilvl w:val="1"/>
        <w:numId w:val="1"/>
      </w:numPr>
      <w:spacing w:before="0" w:beforeAutospacing="1" w:after="0" w:afterAutospacing="1" w:line="400" w:lineRule="exact"/>
      <w:ind w:left="664" w:leftChars="100" w:hanging="454"/>
      <w:jc w:val="both"/>
      <w:outlineLvl w:val="1"/>
    </w:pPr>
    <w:rPr>
      <w:rFonts w:hint="eastAsia" w:ascii="宋体" w:hAnsi="宋体" w:eastAsia="宋体" w:cs="宋体"/>
      <w:bCs/>
      <w:kern w:val="0"/>
      <w:sz w:val="24"/>
      <w:szCs w:val="36"/>
      <w:lang w:bidi="ar"/>
    </w:rPr>
  </w:style>
  <w:style w:type="paragraph" w:styleId="4">
    <w:name w:val="heading 3"/>
    <w:basedOn w:val="1"/>
    <w:next w:val="1"/>
    <w:unhideWhenUsed/>
    <w:qFormat/>
    <w:uiPriority w:val="0"/>
    <w:pPr>
      <w:keepNext/>
      <w:keepLines/>
      <w:numPr>
        <w:ilvl w:val="2"/>
        <w:numId w:val="1"/>
      </w:numPr>
      <w:spacing w:beforeLines="0" w:beforeAutospacing="0" w:afterLines="0" w:afterAutospacing="0" w:line="360" w:lineRule="auto"/>
      <w:ind w:left="1129" w:leftChars="200" w:hanging="709" w:firstLineChars="0"/>
      <w:outlineLvl w:val="2"/>
    </w:pPr>
    <w:rPr>
      <w:rFonts w:eastAsia="宋体" w:asciiTheme="minorAscii" w:hAnsiTheme="minorAscii"/>
      <w:sz w:val="24"/>
    </w:rPr>
  </w:style>
  <w:style w:type="character" w:default="1" w:styleId="18">
    <w:name w:val="Default Paragraph Font"/>
    <w:semiHidden/>
    <w:qFormat/>
    <w:uiPriority w:val="0"/>
  </w:style>
  <w:style w:type="table" w:default="1" w:styleId="16">
    <w:name w:val="Normal Table"/>
    <w:semiHidden/>
    <w:qFormat/>
    <w:uiPriority w:val="0"/>
    <w:tblPr>
      <w:tblCellMar>
        <w:top w:w="0" w:type="dxa"/>
        <w:left w:w="108" w:type="dxa"/>
        <w:bottom w:w="0" w:type="dxa"/>
        <w:right w:w="108" w:type="dxa"/>
      </w:tblCellMar>
    </w:tblPr>
  </w:style>
  <w:style w:type="paragraph" w:styleId="5">
    <w:name w:val="annotation text"/>
    <w:basedOn w:val="1"/>
    <w:qFormat/>
    <w:uiPriority w:val="0"/>
    <w:pPr>
      <w:jc w:val="left"/>
    </w:pPr>
  </w:style>
  <w:style w:type="paragraph" w:styleId="6">
    <w:name w:val="Body Text"/>
    <w:basedOn w:val="1"/>
    <w:qFormat/>
    <w:uiPriority w:val="0"/>
    <w:pPr>
      <w:spacing w:after="120"/>
    </w:pPr>
  </w:style>
  <w:style w:type="paragraph" w:styleId="7">
    <w:name w:val="Body Text Indent 2"/>
    <w:basedOn w:val="1"/>
    <w:qFormat/>
    <w:uiPriority w:val="0"/>
    <w:pPr>
      <w:spacing w:after="120" w:line="480" w:lineRule="auto"/>
      <w:ind w:left="420" w:leftChars="200"/>
    </w:pPr>
    <w:rPr>
      <w:rFonts w:ascii="Times New Roman" w:hAnsi="Times New Roman"/>
      <w:sz w:val="32"/>
      <w:szCs w:val="24"/>
    </w:rPr>
  </w:style>
  <w:style w:type="paragraph" w:styleId="8">
    <w:name w:val="footer"/>
    <w:basedOn w:val="1"/>
    <w:qFormat/>
    <w:uiPriority w:val="0"/>
    <w:pPr>
      <w:tabs>
        <w:tab w:val="center" w:pos="4153"/>
        <w:tab w:val="right" w:pos="8306"/>
      </w:tabs>
      <w:snapToGrid w:val="0"/>
      <w:jc w:val="left"/>
    </w:pPr>
    <w:rPr>
      <w:sz w:val="18"/>
    </w:rPr>
  </w:style>
  <w:style w:type="paragraph" w:styleId="9">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0">
    <w:name w:val="toc 1"/>
    <w:next w:val="1"/>
    <w:qFormat/>
    <w:uiPriority w:val="0"/>
    <w:pPr>
      <w:widowControl w:val="0"/>
      <w:spacing w:before="120" w:line="400" w:lineRule="auto"/>
      <w:jc w:val="distribute"/>
    </w:pPr>
    <w:rPr>
      <w:rFonts w:ascii="黑体" w:hAnsi="Times New Roman" w:eastAsia="黑体" w:cs="Times New Roman"/>
      <w:sz w:val="24"/>
      <w:szCs w:val="24"/>
      <w:lang w:val="en-US" w:eastAsia="zh-CN" w:bidi="ar-SA"/>
    </w:rPr>
  </w:style>
  <w:style w:type="paragraph" w:styleId="11">
    <w:name w:val="footnote text"/>
    <w:basedOn w:val="1"/>
    <w:qFormat/>
    <w:uiPriority w:val="0"/>
    <w:pPr>
      <w:snapToGrid w:val="0"/>
    </w:pPr>
    <w:rPr>
      <w:sz w:val="18"/>
    </w:rPr>
  </w:style>
  <w:style w:type="paragraph" w:styleId="12">
    <w:name w:val="toc 2"/>
    <w:basedOn w:val="1"/>
    <w:next w:val="1"/>
    <w:qFormat/>
    <w:uiPriority w:val="0"/>
    <w:pPr>
      <w:ind w:left="420" w:leftChars="200"/>
    </w:pPr>
  </w:style>
  <w:style w:type="paragraph" w:styleId="13">
    <w:name w:val="Normal (Web)"/>
    <w:basedOn w:val="1"/>
    <w:qFormat/>
    <w:uiPriority w:val="0"/>
    <w:pPr>
      <w:spacing w:beforeAutospacing="1" w:afterAutospacing="1"/>
    </w:pPr>
    <w:rPr>
      <w:rFonts w:cs="Times New Roman"/>
      <w:sz w:val="24"/>
      <w:lang w:val="en-US" w:bidi="ar-SA"/>
    </w:rPr>
  </w:style>
  <w:style w:type="paragraph" w:styleId="14">
    <w:name w:val="Title"/>
    <w:basedOn w:val="1"/>
    <w:qFormat/>
    <w:uiPriority w:val="0"/>
    <w:pPr>
      <w:jc w:val="center"/>
      <w:outlineLvl w:val="0"/>
    </w:pPr>
    <w:rPr>
      <w:rFonts w:ascii="Arial" w:hAnsi="Arial" w:eastAsia="黑体" w:cs="Arial"/>
      <w:b/>
      <w:bCs/>
      <w:sz w:val="36"/>
      <w:szCs w:val="32"/>
    </w:rPr>
  </w:style>
  <w:style w:type="paragraph" w:styleId="15">
    <w:name w:val="Body Text First Indent"/>
    <w:basedOn w:val="6"/>
    <w:qFormat/>
    <w:uiPriority w:val="0"/>
    <w:pPr>
      <w:ind w:firstLine="420" w:firstLineChars="100"/>
    </w:pPr>
    <w:rPr>
      <w:rFonts w:ascii="Calibri" w:hAnsi="Calibri" w:eastAsia="宋体"/>
      <w:kern w:val="0"/>
      <w:sz w:val="20"/>
      <w:szCs w:val="20"/>
    </w:rPr>
  </w:style>
  <w:style w:type="table" w:styleId="17">
    <w:name w:val="Table Grid"/>
    <w:basedOn w:val="1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Strong"/>
    <w:basedOn w:val="18"/>
    <w:qFormat/>
    <w:uiPriority w:val="0"/>
    <w:rPr>
      <w:b/>
    </w:rPr>
  </w:style>
  <w:style w:type="character" w:styleId="20">
    <w:name w:val="page number"/>
    <w:basedOn w:val="18"/>
    <w:qFormat/>
    <w:uiPriority w:val="0"/>
  </w:style>
  <w:style w:type="character" w:styleId="21">
    <w:name w:val="Hyperlink"/>
    <w:qFormat/>
    <w:uiPriority w:val="0"/>
    <w:rPr>
      <w:color w:val="0000FF"/>
      <w:u w:val="single"/>
    </w:rPr>
  </w:style>
  <w:style w:type="character" w:styleId="22">
    <w:name w:val="footnote reference"/>
    <w:basedOn w:val="18"/>
    <w:autoRedefine/>
    <w:qFormat/>
    <w:uiPriority w:val="0"/>
    <w:rPr>
      <w:vertAlign w:val="superscript"/>
    </w:rPr>
  </w:style>
  <w:style w:type="paragraph" w:customStyle="1" w:styleId="23">
    <w:name w:val="正文首行缩进 21"/>
    <w:basedOn w:val="1"/>
    <w:qFormat/>
    <w:uiPriority w:val="0"/>
    <w:pPr>
      <w:spacing w:after="120"/>
      <w:ind w:left="420" w:leftChars="200" w:firstLine="420" w:firstLineChars="200"/>
    </w:pPr>
  </w:style>
  <w:style w:type="paragraph" w:customStyle="1" w:styleId="24">
    <w:name w:val="段落"/>
    <w:basedOn w:val="1"/>
    <w:qFormat/>
    <w:uiPriority w:val="0"/>
    <w:pPr>
      <w:widowControl/>
      <w:adjustRightInd w:val="0"/>
      <w:spacing w:line="420" w:lineRule="exact"/>
      <w:ind w:firstLine="520" w:firstLineChars="200"/>
      <w:textAlignment w:val="baseline"/>
    </w:pPr>
    <w:rPr>
      <w:spacing w:val="10"/>
      <w:sz w:val="24"/>
      <w:szCs w:val="20"/>
    </w:rPr>
  </w:style>
  <w:style w:type="paragraph" w:customStyle="1" w:styleId="25">
    <w:name w:val="标题2"/>
    <w:basedOn w:val="14"/>
    <w:autoRedefine/>
    <w:qFormat/>
    <w:uiPriority w:val="0"/>
    <w:pPr>
      <w:widowControl/>
      <w:adjustRightInd w:val="0"/>
      <w:spacing w:after="360" w:line="420" w:lineRule="exact"/>
      <w:textAlignment w:val="baseline"/>
      <w:outlineLvl w:val="9"/>
    </w:pPr>
    <w:rPr>
      <w:rFonts w:cs="Times New Roman"/>
      <w:b w:val="0"/>
      <w:bCs w:val="0"/>
      <w:sz w:val="30"/>
      <w:szCs w:val="20"/>
    </w:rPr>
  </w:style>
  <w:style w:type="paragraph" w:customStyle="1" w:styleId="26">
    <w:name w:val="标题1"/>
    <w:basedOn w:val="14"/>
    <w:qFormat/>
    <w:uiPriority w:val="0"/>
    <w:pPr>
      <w:widowControl/>
      <w:adjustRightInd w:val="0"/>
      <w:spacing w:after="360" w:line="420" w:lineRule="exact"/>
      <w:textAlignment w:val="baseline"/>
      <w:outlineLvl w:val="9"/>
    </w:pPr>
    <w:rPr>
      <w:rFonts w:cs="Times New Roman"/>
      <w:b w:val="0"/>
      <w:bCs w:val="0"/>
      <w:sz w:val="30"/>
      <w:szCs w:val="20"/>
    </w:rPr>
  </w:style>
  <w:style w:type="character" w:customStyle="1" w:styleId="27">
    <w:name w:val="标题 2 Char"/>
    <w:link w:val="3"/>
    <w:qFormat/>
    <w:uiPriority w:val="0"/>
    <w:rPr>
      <w:rFonts w:hint="eastAsia" w:ascii="宋体" w:hAnsi="宋体" w:eastAsia="宋体" w:cs="宋体"/>
      <w:bCs/>
      <w:kern w:val="0"/>
      <w:sz w:val="24"/>
      <w:szCs w:val="36"/>
      <w:lang w:bidi="ar"/>
    </w:rPr>
  </w:style>
  <w:style w:type="paragraph" w:customStyle="1" w:styleId="28">
    <w:name w:val="三级标题"/>
    <w:basedOn w:val="1"/>
    <w:qFormat/>
    <w:uiPriority w:val="0"/>
    <w:pPr>
      <w:adjustRightInd w:val="0"/>
      <w:ind w:firstLine="602"/>
      <w:textAlignment w:val="baseline"/>
      <w:outlineLvl w:val="2"/>
    </w:pPr>
    <w:rPr>
      <w:rFonts w:hint="eastAsia" w:ascii="宋体" w:hAnsi="宋体" w:cs="宋体"/>
      <w:b/>
      <w:bCs/>
      <w:color w:val="auto"/>
      <w:spacing w:val="10"/>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14</Pages>
  <Words>6708</Words>
  <Characters>7624</Characters>
  <Lines>0</Lines>
  <Paragraphs>0</Paragraphs>
  <TotalTime>216</TotalTime>
  <ScaleCrop>false</ScaleCrop>
  <LinksUpToDate>false</LinksUpToDate>
  <CharactersWithSpaces>8184</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2022-06-14T08:37:00Z</dcterms:created>
  <dc:creator>ZXQ</dc:creator>
  <cp:lastModifiedBy>WPS_1745382907</cp:lastModifiedBy>
  <cp:lastPrinted>2023-05-06T08:23:00Z</cp:lastPrinted>
  <dcterms:modified xsi:type="dcterms:W3CDTF">2026-07-24T07:29:50Z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BE45C7571A2F44F280C5C8050C5363BA</vt:lpwstr>
  </property>
  <property fmtid="{D5CDD505-2E9C-101B-9397-08002B2CF9AE}" pid="4" name="KSOTemplateDocerSaveRecord">
    <vt:lpwstr>eyJoZGlkIjoiMGI2MjU2OTI0MDI1ZDliNTNkYjNiNDk3NTBmYzkxYTYiLCJ1c2VySWQiOiIxNjk1NTQ5MjM3In0=</vt:lpwstr>
  </property>
</Properties>
</file>