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120" w:after="120" w:line="360" w:lineRule="auto"/>
        <w:jc w:val="left"/>
      </w:pPr>
      <w:r>
        <w:rPr>
          <w:rFonts w:ascii="Times New Roman" w:hAnsi="Times New Roman" w:eastAsia="黑体"/>
          <w:b/>
          <w:sz w:val="32"/>
        </w:rPr>
        <w:t>3.2.3  竖向布置</w:t>
      </w:r>
    </w:p>
    <w:p>
      <w:pPr>
        <w:keepNext/>
        <w:widowControl/>
        <w:spacing w:before="100" w:after="60" w:line="360" w:lineRule="auto"/>
        <w:jc w:val="left"/>
      </w:pPr>
      <w:r>
        <w:rPr>
          <w:rFonts w:ascii="Times New Roman" w:hAnsi="Times New Roman" w:eastAsia="黑体"/>
          <w:b/>
          <w:sz w:val="24"/>
        </w:rPr>
        <w:t>（1）设计依据与场地条件</w:t>
      </w:r>
    </w:p>
    <w:p>
      <w:pPr>
        <w:widowControl/>
        <w:spacing w:line="360" w:lineRule="auto"/>
        <w:ind w:firstLine="480"/>
        <w:jc w:val="both"/>
      </w:pPr>
      <w:r>
        <w:rPr>
          <w:rFonts w:ascii="Times New Roman" w:hAnsi="Times New Roman" w:eastAsia="宋体"/>
          <w:b w:val="0"/>
          <w:sz w:val="24"/>
        </w:rPr>
        <w:t>本项目拟建于广州市黄埔区广深公路主干道两旁，总用地约52万m²。建设参数给定：年平均气温22.6 ℃，最热月月平均气温29.3 ℃，最冷月月平均气温14.2 ℃，绝对最高气温39 ℃，绝对最低气温1.8 ℃；年平均降雨量2240 mm，最大日降雨量346 mm，平均降雨日数153 d；主导风向偏北，年平均风速2.0 m/s，最大风速32.8 m/s。上述条件表明场地竖向设计不仅要满足储运工艺和道路衔接，还应避免重要设施处于低洼积水部位，并预留应对强降雨、外部道路来水及地基沉降的安全条件。气候数值为本设计任务给定参数。</w:t>
      </w:r>
    </w:p>
    <w:p>
      <w:pPr>
        <w:widowControl/>
        <w:spacing w:line="360" w:lineRule="auto"/>
        <w:ind w:firstLine="480"/>
        <w:jc w:val="both"/>
      </w:pPr>
      <w:r>
        <w:rPr>
          <w:rFonts w:ascii="Times New Roman" w:hAnsi="Times New Roman" w:eastAsia="宋体"/>
          <w:b w:val="0"/>
          <w:sz w:val="24"/>
        </w:rPr>
        <w:t>本节主要执行现行《石油库设计规范》GB 50074—2014、《工业企业总平面设计规范》GB 50187—2012和《防洪标准》GB 50201—2014。GB 50074—2014第5.3.1条规定石油库场地设计标高应避免洪水、潮水和内涝威胁；不能满足最低设计标高要求时，应采取可靠的防洪、排涝措施。该规范第5.3.2条要求行政管理设施、消防泵房、专用消防站及总变电所等重要设施布置在相对较高位置，或采取防止事故流淌火侵害的措施。国家标准在正文中直接列明，不另设参考文献脚标。</w:t>
      </w:r>
    </w:p>
    <w:p>
      <w:pPr>
        <w:widowControl/>
        <w:spacing w:line="360" w:lineRule="auto"/>
        <w:ind w:firstLine="480"/>
        <w:jc w:val="both"/>
      </w:pPr>
      <w:r>
        <w:rPr>
          <w:rFonts w:ascii="Times New Roman" w:hAnsi="Times New Roman" w:eastAsia="宋体"/>
          <w:b w:val="0"/>
          <w:sz w:val="24"/>
        </w:rPr>
        <w:t>现阶段尚缺1∶500地形测量图、广深公路两侧实测标高、规划控制标高、设计洪（潮）水位、地下水位和岩土工程勘察资料，因此本节仅确定相对标高关系和竖向控制原则，不虚构绝对高程。施工图阶段应采用统一的黄海高程基准H₀，并在取得上述资料后完成设计标高、道路纵坡、挡墙高度和土方量的定量计算。油库竖向设计应在工艺流程、道路运输、场地稳定和土方平衡之间综合比选</w:t>
      </w:r>
      <w:r>
        <w:rPr>
          <w:rFonts w:ascii="Times New Roman" w:hAnsi="Times New Roman" w:eastAsia="宋体"/>
          <w:b w:val="0"/>
          <w:sz w:val="24"/>
          <w:vertAlign w:val="superscript"/>
        </w:rPr>
        <w:t>[18]</w:t>
      </w:r>
      <w:r>
        <w:rPr>
          <w:rFonts w:ascii="Times New Roman" w:hAnsi="Times New Roman" w:eastAsia="宋体"/>
          <w:b w:val="0"/>
          <w:sz w:val="24"/>
          <w:vertAlign w:val="superscript"/>
        </w:rPr>
        <w:t>[19]</w:t>
      </w:r>
      <w:r>
        <w:rPr>
          <w:rFonts w:ascii="Times New Roman" w:hAnsi="Times New Roman" w:eastAsia="宋体"/>
          <w:b w:val="0"/>
          <w:sz w:val="24"/>
        </w:rPr>
        <w:t>；已有总平面论述及案例用于方法核对，不替代现行规范和项目实测资料</w:t>
      </w:r>
      <w:r>
        <w:rPr>
          <w:rFonts w:ascii="Times New Roman" w:hAnsi="Times New Roman" w:eastAsia="宋体"/>
          <w:b w:val="0"/>
          <w:sz w:val="24"/>
          <w:vertAlign w:val="superscript"/>
        </w:rPr>
        <w:t>[20]</w:t>
      </w:r>
      <w:r>
        <w:rPr>
          <w:rFonts w:ascii="Times New Roman" w:hAnsi="Times New Roman" w:eastAsia="宋体"/>
          <w:b w:val="0"/>
          <w:sz w:val="24"/>
          <w:vertAlign w:val="superscript"/>
        </w:rPr>
        <w:t>[21]</w:t>
      </w:r>
      <w:r>
        <w:rPr>
          <w:rFonts w:ascii="Times New Roman" w:hAnsi="Times New Roman" w:eastAsia="宋体"/>
          <w:b w:val="0"/>
          <w:sz w:val="24"/>
        </w:rPr>
        <w:t>。</w:t>
      </w:r>
    </w:p>
    <w:p>
      <w:pPr>
        <w:keepNext/>
        <w:widowControl/>
        <w:spacing w:before="100" w:after="60" w:line="360" w:lineRule="auto"/>
        <w:jc w:val="left"/>
      </w:pPr>
      <w:r>
        <w:rPr>
          <w:rFonts w:ascii="Times New Roman" w:hAnsi="Times New Roman" w:eastAsia="黑体"/>
          <w:b/>
          <w:sz w:val="24"/>
        </w:rPr>
        <w:t>（2）竖向布置原则</w:t>
      </w:r>
    </w:p>
    <w:p>
      <w:pPr>
        <w:widowControl/>
        <w:spacing w:line="360" w:lineRule="auto"/>
        <w:ind w:firstLine="480"/>
        <w:jc w:val="both"/>
      </w:pPr>
      <w:r>
        <w:rPr>
          <w:rFonts w:ascii="Times New Roman" w:hAnsi="Times New Roman" w:eastAsia="宋体"/>
          <w:b w:val="0"/>
          <w:sz w:val="24"/>
        </w:rPr>
        <w:t>本设计采用“分地块控制、分区整平、台阶衔接、就近平衡”的总体思路。广深公路两旁地块分别建立独立的竖向控制系统，以各自道路出入口、罐区消防环路和主要建构筑物室外地坪作为控制点；未经道路主管部门批准，不通过抬高一侧场地、降低另一侧场地或设置跨路构筑物强行统一两侧高程。两侧地块的设计标高应分别与市政道路平顺衔接，同时防止道路表面径流进入库区。</w:t>
      </w:r>
    </w:p>
    <w:p>
      <w:pPr>
        <w:widowControl/>
        <w:spacing w:line="360" w:lineRule="auto"/>
        <w:ind w:firstLine="480"/>
        <w:jc w:val="both"/>
      </w:pPr>
      <w:r>
        <w:rPr>
          <w:rFonts w:ascii="Times New Roman" w:hAnsi="Times New Roman" w:eastAsia="宋体"/>
          <w:b w:val="0"/>
          <w:sz w:val="24"/>
        </w:rPr>
        <w:t>场地高程按“重要设施相对高置、储罐基础稳定、道路连续顺畅、低点集中可控”的原则组织。储油区不机械规定为全库绝对最高点，但罐基础、环形消防车道和防火堤必须形成明确且互不矛盾的高程关系；消防泵房、变配电间、中控室和行政管理设施不得设在地块最低点。装卸区场坪应与车辆出入口衔接平顺，停车作业面不得出现影响车辆稳定的突变坡和局部洼地。辅助生产设施结合工艺管线、消防管网及检修道路布置，避免频繁高差转换。</w:t>
      </w:r>
    </w:p>
    <w:p>
      <w:pPr>
        <w:widowControl/>
        <w:spacing w:line="360" w:lineRule="auto"/>
        <w:ind w:firstLine="480"/>
        <w:jc w:val="both"/>
      </w:pPr>
      <w:r>
        <w:rPr>
          <w:rFonts w:ascii="Times New Roman" w:hAnsi="Times New Roman" w:eastAsia="宋体"/>
          <w:b w:val="0"/>
          <w:sz w:val="24"/>
        </w:rPr>
        <w:t>竖向方案优先顺应天然地形，不以追求单一重力高差为目的进行大挖大填。当场地天然高差较大时，可采用道路分隔的台阶式布置，台地之间通过稳定边坡或挡墙过渡；当场地较平坦时，通过道路控制线、建筑室外地坪和局部微地形形成有组织的高程系统。储罐基础、防火堤和重载道路不得直接跨越未经处理的填挖交界，以减少差异沉降。</w:t>
      </w:r>
    </w:p>
    <w:p>
      <w:pPr>
        <w:keepNext/>
        <w:widowControl/>
        <w:spacing w:before="100" w:after="60" w:line="360" w:lineRule="auto"/>
        <w:jc w:val="left"/>
      </w:pPr>
      <w:r>
        <w:rPr>
          <w:rFonts w:ascii="Times New Roman" w:hAnsi="Times New Roman" w:eastAsia="黑体"/>
          <w:b/>
          <w:sz w:val="24"/>
        </w:rPr>
        <w:t>（3）主要设施相对标高控制</w:t>
      </w:r>
    </w:p>
    <w:p>
      <w:pPr>
        <w:keepNext/>
        <w:widowControl/>
        <w:spacing w:before="80" w:after="80" w:line="360" w:lineRule="auto"/>
        <w:jc w:val="center"/>
      </w:pPr>
      <w:r>
        <w:rPr>
          <w:rFonts w:ascii="Times New Roman" w:hAnsi="Times New Roman" w:eastAsia="宋体"/>
          <w:b w:val="0"/>
          <w:sz w:val="21"/>
        </w:rPr>
        <w:t>表3-×  油库主要设施竖向控制关系</w:t>
      </w:r>
    </w:p>
    <w:tbl>
      <w:tblPr>
        <w:tblStyle w:val="TableGrid"/>
        <w:tblW w:type="dxa" w:w="9360"/>
        <w:jc w:val="center"/>
        <w:tblLayout w:type="fixed"/>
        <w:tblLook w:firstColumn="1" w:firstRow="1" w:lastColumn="0" w:lastRow="0" w:noHBand="0" w:noVBand="1" w:val="04A0"/>
        <w:tblInd w:w="0" w:type="dxa"/>
      </w:tblPr>
      <w:tblGrid>
        <w:gridCol w:w="1750"/>
        <w:gridCol w:w="2850"/>
        <w:gridCol w:w="3000"/>
        <w:gridCol w:w="1760"/>
      </w:tblGrid>
      <w:tr>
        <w:tc>
          <w:tcPr>
            <w:tcW w:type="dxa" w:w="1750"/>
            <w:vAlign w:val="center"/>
            <w:tcMar>
              <w:top w:w="80" w:type="dxa"/>
              <w:bottom w:w="80" w:type="dxa"/>
              <w:start w:w="100" w:type="dxa"/>
              <w:end w:w="100" w:type="dxa"/>
            </w:tcMar>
            <w:shd w:fill="D9EAF7"/>
          </w:tcPr>
          <w:p>
            <w:pPr>
              <w:spacing w:before="0" w:after="0" w:line="240" w:lineRule="exact"/>
              <w:jc w:val="center"/>
            </w:pPr>
            <w:r/>
            <w:r>
              <w:rPr>
                <w:rFonts w:ascii="Times New Roman" w:hAnsi="Times New Roman" w:eastAsia="黑体"/>
                <w:b/>
                <w:sz w:val="19"/>
              </w:rPr>
              <w:t>设施或区域</w:t>
            </w:r>
          </w:p>
        </w:tc>
        <w:tc>
          <w:tcPr>
            <w:tcW w:type="dxa" w:w="2850"/>
            <w:vAlign w:val="center"/>
            <w:tcMar>
              <w:top w:w="80" w:type="dxa"/>
              <w:bottom w:w="80" w:type="dxa"/>
              <w:start w:w="100" w:type="dxa"/>
              <w:end w:w="100" w:type="dxa"/>
            </w:tcMar>
            <w:shd w:fill="D9EAF7"/>
          </w:tcPr>
          <w:p>
            <w:pPr>
              <w:spacing w:before="0" w:after="0" w:line="240" w:lineRule="exact"/>
              <w:jc w:val="center"/>
            </w:pPr>
            <w:r/>
            <w:r>
              <w:rPr>
                <w:rFonts w:ascii="Times New Roman" w:hAnsi="Times New Roman" w:eastAsia="黑体"/>
                <w:b/>
                <w:sz w:val="19"/>
              </w:rPr>
              <w:t>竖向控制要求</w:t>
            </w:r>
          </w:p>
        </w:tc>
        <w:tc>
          <w:tcPr>
            <w:tcW w:type="dxa" w:w="3000"/>
            <w:vAlign w:val="center"/>
            <w:tcMar>
              <w:top w:w="80" w:type="dxa"/>
              <w:bottom w:w="80" w:type="dxa"/>
              <w:start w:w="100" w:type="dxa"/>
              <w:end w:w="100" w:type="dxa"/>
            </w:tcMar>
            <w:shd w:fill="D9EAF7"/>
          </w:tcPr>
          <w:p>
            <w:pPr>
              <w:spacing w:before="0" w:after="0" w:line="240" w:lineRule="exact"/>
              <w:jc w:val="center"/>
            </w:pPr>
            <w:r/>
            <w:r>
              <w:rPr>
                <w:rFonts w:ascii="Times New Roman" w:hAnsi="Times New Roman" w:eastAsia="黑体"/>
                <w:b/>
                <w:sz w:val="19"/>
              </w:rPr>
              <w:t>与相邻设施的关系</w:t>
            </w:r>
          </w:p>
        </w:tc>
        <w:tc>
          <w:tcPr>
            <w:tcW w:type="dxa" w:w="1760"/>
            <w:vAlign w:val="center"/>
            <w:tcMar>
              <w:top w:w="80" w:type="dxa"/>
              <w:bottom w:w="80" w:type="dxa"/>
              <w:start w:w="100" w:type="dxa"/>
              <w:end w:w="100" w:type="dxa"/>
            </w:tcMar>
            <w:shd w:fill="D9EAF7"/>
          </w:tcPr>
          <w:p>
            <w:pPr>
              <w:spacing w:before="0" w:after="0" w:line="240" w:lineRule="exact"/>
              <w:jc w:val="center"/>
            </w:pPr>
            <w:r/>
            <w:r>
              <w:rPr>
                <w:rFonts w:ascii="Times New Roman" w:hAnsi="Times New Roman" w:eastAsia="黑体"/>
                <w:b/>
                <w:sz w:val="19"/>
              </w:rPr>
              <w:t>设计依据</w:t>
            </w:r>
          </w:p>
        </w:tc>
      </w:tr>
      <w:tr>
        <w:tc>
          <w:tcPr>
            <w:tcW w:type="dxa" w:w="17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立式储罐基础</w:t>
            </w:r>
          </w:p>
        </w:tc>
        <w:tc>
          <w:tcPr>
            <w:tcW w:type="dxa" w:w="28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基础面高出周围设计地坪不小于0.50 m</w:t>
            </w:r>
          </w:p>
        </w:tc>
        <w:tc>
          <w:tcPr>
            <w:tcW w:type="dxa" w:w="300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基础周边不得形成积水或受地表水冲刷</w:t>
            </w:r>
          </w:p>
        </w:tc>
        <w:tc>
          <w:tcPr>
            <w:tcW w:type="dxa" w:w="176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GB 50074—2014第6.1.14条</w:t>
            </w:r>
          </w:p>
        </w:tc>
      </w:tr>
      <w:tr>
        <w:tc>
          <w:tcPr>
            <w:tcW w:type="dxa" w:w="17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罐组环形消防车道</w:t>
            </w:r>
          </w:p>
        </w:tc>
        <w:tc>
          <w:tcPr>
            <w:tcW w:type="dxa" w:w="28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路面高出防火堤外侧地面不小于0.50 m；受较高地形限制时不得低于0.30 m</w:t>
            </w:r>
          </w:p>
        </w:tc>
        <w:tc>
          <w:tcPr>
            <w:tcW w:type="dxa" w:w="300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与库内主干道平顺连接，转折处不形成反坡</w:t>
            </w:r>
          </w:p>
        </w:tc>
        <w:tc>
          <w:tcPr>
            <w:tcW w:type="dxa" w:w="176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GB 50074—2014第5.2.6条</w:t>
            </w:r>
          </w:p>
        </w:tc>
      </w:tr>
      <w:tr>
        <w:tc>
          <w:tcPr>
            <w:tcW w:type="dxa" w:w="17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防火堤内场地</w:t>
            </w:r>
          </w:p>
        </w:tc>
        <w:tc>
          <w:tcPr>
            <w:tcW w:type="dxa" w:w="28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低于罐基础面，场地高程连续、无封闭洼地</w:t>
            </w:r>
          </w:p>
        </w:tc>
        <w:tc>
          <w:tcPr>
            <w:tcW w:type="dxa" w:w="300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不得削弱防火堤有效高度，不得冲刷罐基础</w:t>
            </w:r>
          </w:p>
        </w:tc>
        <w:tc>
          <w:tcPr>
            <w:tcW w:type="dxa" w:w="176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GB 50074—2014第6.1、6.5节</w:t>
            </w:r>
          </w:p>
        </w:tc>
      </w:tr>
      <w:tr>
        <w:tc>
          <w:tcPr>
            <w:tcW w:type="dxa" w:w="17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消防泵房、变配电间、中控室</w:t>
            </w:r>
          </w:p>
        </w:tc>
        <w:tc>
          <w:tcPr>
            <w:tcW w:type="dxa" w:w="28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布置在相对较高位置，室内外高差明确</w:t>
            </w:r>
          </w:p>
        </w:tc>
        <w:tc>
          <w:tcPr>
            <w:tcW w:type="dxa" w:w="300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避开地块汇水低点和事故液可能流经区域</w:t>
            </w:r>
          </w:p>
        </w:tc>
        <w:tc>
          <w:tcPr>
            <w:tcW w:type="dxa" w:w="176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GB 50074—2014第5.3.2条</w:t>
            </w:r>
          </w:p>
        </w:tc>
      </w:tr>
      <w:tr>
        <w:tc>
          <w:tcPr>
            <w:tcW w:type="dxa" w:w="17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公路装车区</w:t>
            </w:r>
          </w:p>
        </w:tc>
        <w:tc>
          <w:tcPr>
            <w:tcW w:type="dxa" w:w="28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场坪与广深公路出入口顺接，停车面连续平缓</w:t>
            </w:r>
          </w:p>
        </w:tc>
        <w:tc>
          <w:tcPr>
            <w:tcW w:type="dxa" w:w="300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库内地坪不承接外部道路来水，装车鹤位无局部洼地</w:t>
            </w:r>
          </w:p>
        </w:tc>
        <w:tc>
          <w:tcPr>
            <w:tcW w:type="dxa" w:w="176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GB 50187—2012及工艺条件</w:t>
            </w:r>
          </w:p>
        </w:tc>
      </w:tr>
      <w:tr>
        <w:tc>
          <w:tcPr>
            <w:tcW w:type="dxa" w:w="17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行政管理区</w:t>
            </w:r>
          </w:p>
        </w:tc>
        <w:tc>
          <w:tcPr>
            <w:tcW w:type="dxa" w:w="285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位于安全、稳定且相对较高的场地</w:t>
            </w:r>
          </w:p>
        </w:tc>
        <w:tc>
          <w:tcPr>
            <w:tcW w:type="dxa" w:w="300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与主大门、内部道路顺接，不受生产区事故液影响</w:t>
            </w:r>
          </w:p>
        </w:tc>
        <w:tc>
          <w:tcPr>
            <w:tcW w:type="dxa" w:w="1760"/>
            <w:vAlign w:val="center"/>
            <w:tcMar>
              <w:top w:w="80" w:type="dxa"/>
              <w:bottom w:w="80" w:type="dxa"/>
              <w:start w:w="100" w:type="dxa"/>
              <w:end w:w="100" w:type="dxa"/>
            </w:tcMar>
          </w:tcPr>
          <w:p>
            <w:pPr>
              <w:spacing w:before="0" w:after="0" w:line="240" w:lineRule="exact"/>
              <w:jc w:val="center"/>
            </w:pPr>
            <w:r/>
            <w:r>
              <w:rPr>
                <w:rFonts w:ascii="Times New Roman" w:hAnsi="Times New Roman" w:eastAsia="宋体"/>
                <w:b w:val="0"/>
                <w:sz w:val="19"/>
              </w:rPr>
              <w:t>GB 50074—2014第5.3.2条</w:t>
            </w:r>
          </w:p>
        </w:tc>
      </w:tr>
    </w:tbl>
    <w:p>
      <w:pPr>
        <w:widowControl/>
        <w:spacing w:line="360" w:lineRule="auto"/>
        <w:ind w:firstLine="420"/>
        <w:jc w:val="both"/>
      </w:pPr>
      <w:r>
        <w:rPr>
          <w:rFonts w:ascii="Times New Roman" w:hAnsi="Times New Roman" w:eastAsia="宋体"/>
          <w:b w:val="0"/>
          <w:sz w:val="21"/>
        </w:rPr>
        <w:t>注：表中列出的数值均直接采用GB 50074—2014条文要求；其余内容为本阶段控制关系。绝对标高须经地形、防洪、道路和岩土条件复核后确定。</w:t>
      </w:r>
    </w:p>
    <w:p>
      <w:pPr>
        <w:keepNext/>
        <w:widowControl/>
        <w:spacing w:before="100" w:after="60" w:line="360" w:lineRule="auto"/>
        <w:jc w:val="left"/>
      </w:pPr>
      <w:r>
        <w:rPr>
          <w:rFonts w:ascii="Times New Roman" w:hAnsi="Times New Roman" w:eastAsia="黑体"/>
          <w:b/>
          <w:sz w:val="24"/>
        </w:rPr>
        <w:t>（4）各功能区竖向组织</w:t>
      </w:r>
    </w:p>
    <w:p>
      <w:pPr>
        <w:widowControl/>
        <w:spacing w:line="360" w:lineRule="auto"/>
        <w:ind w:firstLine="480"/>
        <w:jc w:val="both"/>
      </w:pPr>
      <w:r>
        <w:rPr>
          <w:rFonts w:ascii="Times New Roman" w:hAnsi="Times New Roman" w:eastAsia="宋体"/>
          <w:b w:val="0"/>
          <w:sz w:val="24"/>
        </w:rPr>
        <w:t>储油区以罐组为基本整平单元。汽油罐组和柴油罐组分别确定罐基础控制标高、防火堤顶标高、防火堤内场地标高及环形消防车道路面标高。相邻罐组若处于不同台地，应利用消防道路或绿化隔离带消化高差，不应在防火堤基础附近设置高挡墙。罐前泵棚位于防火堤外侧，其设备基础、操作地坪和相邻道路应连续衔接，既便于工艺管线安装，也避免基础周边积水和人员通行高差突变。</w:t>
      </w:r>
    </w:p>
    <w:p>
      <w:pPr>
        <w:widowControl/>
        <w:spacing w:line="360" w:lineRule="auto"/>
        <w:ind w:firstLine="480"/>
        <w:jc w:val="both"/>
      </w:pPr>
      <w:r>
        <w:rPr>
          <w:rFonts w:ascii="Times New Roman" w:hAnsi="Times New Roman" w:eastAsia="宋体"/>
          <w:b w:val="0"/>
          <w:sz w:val="24"/>
        </w:rPr>
        <w:t>公路装卸区靠近广深公路设置独立出入口。出入口高程以市政道路现状和规划标高为约束，门区纵断面应保证汽车罐车进出顺畅，避免车辆底盘刮碰、停车面倾斜过大或雨天形成外水倒灌。装车车位、回车场和等候区按同一连续场坪组织，装车鹤位附近不设置突出的路缘或无法识别的局部台阶。装车泵房、定量装车控制小屋的室内地坪高于相邻室外场坪，并设置便于操作和疏散的平顺通道。</w:t>
      </w:r>
    </w:p>
    <w:p>
      <w:pPr>
        <w:widowControl/>
        <w:spacing w:line="360" w:lineRule="auto"/>
        <w:ind w:firstLine="480"/>
        <w:jc w:val="both"/>
      </w:pPr>
      <w:r>
        <w:rPr>
          <w:rFonts w:ascii="Times New Roman" w:hAnsi="Times New Roman" w:eastAsia="宋体"/>
          <w:b w:val="0"/>
          <w:sz w:val="24"/>
        </w:rPr>
        <w:t>辅助生产区位于储油区与行政管理区之间，其竖向标高应同时满足消防车辆到达、设备运输和管线连接要求。消防泵房、变配电间等重要设施优先布置在稳定且相对较高的台地；地下或半地下构筑物的位置应结合最高地下水位和抗浮条件确定。机修间、仓库及化验室的室内外高差应与装卸平台、车辆作业和人员通行方式协调。</w:t>
      </w:r>
    </w:p>
    <w:p>
      <w:pPr>
        <w:widowControl/>
        <w:spacing w:line="360" w:lineRule="auto"/>
        <w:ind w:firstLine="480"/>
        <w:jc w:val="both"/>
      </w:pPr>
      <w:r>
        <w:rPr>
          <w:rFonts w:ascii="Times New Roman" w:hAnsi="Times New Roman" w:eastAsia="宋体"/>
          <w:b w:val="0"/>
          <w:sz w:val="24"/>
        </w:rPr>
        <w:t>行政管理区靠近主大门布置，宜采用独立、完整的场坪。综合办公楼、中控室、门卫和车库与入口道路顺接，室外地坪不得低于周边道路形成汇水洼地。宿舍、食堂等人员集中设施若保留在库内，应按照总平面防火间距和安全分区确定位置，其竖向标高不得因追求土方平衡而低于生产区事故液可能流经的路径。</w:t>
      </w:r>
    </w:p>
    <w:p>
      <w:pPr>
        <w:keepNext/>
        <w:widowControl/>
        <w:spacing w:before="100" w:after="60" w:line="360" w:lineRule="auto"/>
        <w:jc w:val="left"/>
      </w:pPr>
      <w:r>
        <w:rPr>
          <w:rFonts w:ascii="Times New Roman" w:hAnsi="Times New Roman" w:eastAsia="黑体"/>
          <w:b/>
          <w:sz w:val="24"/>
        </w:rPr>
        <w:t>（5）道路、场坪及高差衔接</w:t>
      </w:r>
    </w:p>
    <w:p>
      <w:pPr>
        <w:widowControl/>
        <w:spacing w:line="360" w:lineRule="auto"/>
        <w:ind w:firstLine="480"/>
        <w:jc w:val="both"/>
      </w:pPr>
      <w:r>
        <w:rPr>
          <w:rFonts w:ascii="Times New Roman" w:hAnsi="Times New Roman" w:eastAsia="宋体"/>
          <w:b w:val="0"/>
          <w:sz w:val="24"/>
        </w:rPr>
        <w:t>库内主干道、罐区环形消防车道和装车区道路应形成连续的竖向网络。道路纵断面设计以车辆安全、消防通行和与各建构筑物入口衔接为主要条件；交叉口、回车场和罐区出入口应采用三维高程校核，不能简单按四角标高机械套坡。道路竖曲线、纵坡及横坡的具体数值应在车辆参数、道路长度和实测地形明确后，依据GB 50187—2012及相关道路设计标准确定，本阶段不编造统一坡度。</w:t>
      </w:r>
    </w:p>
    <w:p>
      <w:pPr>
        <w:widowControl/>
        <w:spacing w:line="360" w:lineRule="auto"/>
        <w:ind w:firstLine="480"/>
        <w:jc w:val="both"/>
      </w:pPr>
      <w:r>
        <w:rPr>
          <w:rFonts w:ascii="Times New Roman" w:hAnsi="Times New Roman" w:eastAsia="宋体"/>
          <w:b w:val="0"/>
          <w:sz w:val="24"/>
        </w:rPr>
        <w:t>台地之间优先采用缓坡自然衔接；受用地、防火间距或工艺管线限制时可采用挡墙，但挡墙不得妨碍消防车通行、工艺管线检修及人员疏散。挡墙顶部和坡脚应设置安全防护，结构形式、基础埋深和抗滑稳定由岩土勘察与结构计算确定。高填方区应控制分层压实，并考虑工后沉降对储罐、道路、管廊和刚性连接管道的影响。</w:t>
      </w:r>
    </w:p>
    <w:p>
      <w:pPr>
        <w:keepNext/>
        <w:widowControl/>
        <w:spacing w:before="100" w:after="60" w:line="360" w:lineRule="auto"/>
        <w:jc w:val="left"/>
      </w:pPr>
      <w:r>
        <w:rPr>
          <w:rFonts w:ascii="Times New Roman" w:hAnsi="Times New Roman" w:eastAsia="黑体"/>
          <w:b/>
          <w:sz w:val="24"/>
        </w:rPr>
        <w:t>（6）土方平衡</w:t>
      </w:r>
    </w:p>
    <w:p>
      <w:pPr>
        <w:widowControl/>
        <w:spacing w:line="360" w:lineRule="auto"/>
        <w:ind w:firstLine="480"/>
        <w:jc w:val="both"/>
      </w:pPr>
      <w:r>
        <w:rPr>
          <w:rFonts w:ascii="Times New Roman" w:hAnsi="Times New Roman" w:eastAsia="宋体"/>
          <w:b w:val="0"/>
          <w:sz w:val="24"/>
        </w:rPr>
        <w:t>土方设计按广深公路两旁地块分别就近平衡，优先利用本地块合格挖方，减少跨越主干道调运。测量资料齐全后采用方格网法或三角网法建立现状地面与设计地面模型。单个方格土方量可按下式初算：</w:t>
      </w:r>
    </w:p>
    <w:p>
      <w:pPr>
        <w:widowControl/>
        <w:spacing w:before="60" w:after="60" w:line="360" w:lineRule="auto"/>
        <w:jc w:val="center"/>
      </w:pPr>
      <w:r>
        <w:rPr>
          <w:rFonts w:ascii="Cambria Math" w:hAnsi="Cambria Math" w:eastAsia="宋体"/>
          <w:b w:val="0"/>
          <w:sz w:val="24"/>
        </w:rPr>
        <w:t>Vᵢ = Aᵢ(h₁ + h₂ + h₃ + h₄) / 4</w:t>
      </w:r>
    </w:p>
    <w:p>
      <w:pPr>
        <w:widowControl/>
        <w:spacing w:line="360" w:lineRule="auto"/>
        <w:ind w:firstLine="480"/>
        <w:jc w:val="both"/>
      </w:pPr>
      <w:r>
        <w:rPr>
          <w:rFonts w:ascii="Times New Roman" w:hAnsi="Times New Roman" w:eastAsia="宋体"/>
          <w:b w:val="0"/>
          <w:sz w:val="24"/>
        </w:rPr>
        <w:t>式中：Vᵢ为方格土方量，m³；Aᵢ为方格面积，m²；h₁～h₄为方格四角点设计标高与自然标高之差，m。填方和挖方应分别统计，并单列清表土、淤泥或污染土、结构基坑余土、管沟土方及外购合格填料。压实系数、松方系数和沉降预留应依据土工试验及施工组织确定。方格网计算、分区整平和土方平衡方法可参照油库设计数据手册及毕业设计指导资料</w:t>
      </w:r>
      <w:r>
        <w:rPr>
          <w:rFonts w:ascii="Times New Roman" w:hAnsi="Times New Roman" w:eastAsia="宋体"/>
          <w:b w:val="0"/>
          <w:sz w:val="24"/>
          <w:vertAlign w:val="superscript"/>
        </w:rPr>
        <w:t>[18]</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360" w:lineRule="auto"/>
        <w:ind w:firstLine="480"/>
        <w:jc w:val="both"/>
      </w:pPr>
      <w:r>
        <w:rPr>
          <w:rFonts w:ascii="Times New Roman" w:hAnsi="Times New Roman" w:eastAsia="宋体"/>
          <w:b w:val="0"/>
          <w:sz w:val="24"/>
        </w:rPr>
        <w:t>罐基础、消防泵房、重载道路和地下构筑物的地基处理必须以岩土勘察结论为准。不得为了使场地总填挖数值相等而使用不合格土回填，也不得用全库土方平衡代替罐区差异沉降、边坡稳定和挡墙稳定验算。若两侧地块地质条件差异明显，应分别确定地基处理和沉降控制方案。</w:t>
      </w:r>
    </w:p>
    <w:p>
      <w:pPr>
        <w:keepNext/>
        <w:widowControl/>
        <w:spacing w:before="100" w:after="60" w:line="360" w:lineRule="auto"/>
        <w:jc w:val="left"/>
      </w:pPr>
      <w:r>
        <w:rPr>
          <w:rFonts w:ascii="Times New Roman" w:hAnsi="Times New Roman" w:eastAsia="黑体"/>
          <w:b/>
          <w:sz w:val="24"/>
        </w:rPr>
        <w:t>（7）施工图深化要求</w:t>
      </w:r>
    </w:p>
    <w:p>
      <w:pPr>
        <w:widowControl/>
        <w:spacing w:line="360" w:lineRule="auto"/>
        <w:ind w:firstLine="480"/>
        <w:jc w:val="both"/>
      </w:pPr>
      <w:r>
        <w:rPr>
          <w:rFonts w:ascii="Times New Roman" w:hAnsi="Times New Roman" w:eastAsia="宋体"/>
          <w:b w:val="0"/>
          <w:sz w:val="24"/>
        </w:rPr>
        <w:t>后续竖向布置图应标注用地红线、广深公路及两侧出入口标高、现状与设计等高线、场坪控制点、建构筑物室内外标高、储罐基础标高、防火堤顶及堤内地坪标高、道路中心线及路缘标高、道路坡向、挡墙和边坡位置。图纸应配套道路纵断面、典型台地剖面、土方平衡图及土方计算表，使总平面、工艺、道路、结构和消防专业采用同一套高程基准。</w:t>
      </w:r>
    </w:p>
    <w:p>
      <w:pPr>
        <w:widowControl/>
        <w:spacing w:line="360" w:lineRule="auto"/>
        <w:ind w:firstLine="480"/>
        <w:jc w:val="both"/>
      </w:pPr>
      <w:r>
        <w:rPr>
          <w:rFonts w:ascii="Times New Roman" w:hAnsi="Times New Roman" w:eastAsia="宋体"/>
          <w:b w:val="0"/>
          <w:sz w:val="24"/>
        </w:rPr>
        <w:t>综上，本设计确定采用“两侧地块独立控制、重要设施相对高置、罐区高程关系刚性控制、台阶式分区整平、土方就近平衡”的竖向方案。现阶段可据此开展总平面方案深化；取得1∶500地形图、地勘报告、广深公路控制标高及防洪资料后，再确定唯一的绝对标高、道路坡度、挡墙高度和土方工程量。</w:t>
      </w:r>
    </w:p>
    <w:p>
      <w:pPr>
        <w:keepNext/>
        <w:widowControl/>
        <w:spacing w:before="100" w:after="60" w:line="360" w:lineRule="auto"/>
        <w:jc w:val="left"/>
      </w:pPr>
      <w:r>
        <w:rPr>
          <w:rFonts w:ascii="Times New Roman" w:hAnsi="Times New Roman" w:eastAsia="黑体"/>
          <w:b/>
          <w:sz w:val="24"/>
        </w:rPr>
        <w:t>本节引用的参考文献（编号沿用论文总参考文献表）</w:t>
      </w:r>
    </w:p>
    <w:p>
      <w:pPr>
        <w:widowControl/>
        <w:spacing w:line="240" w:lineRule="auto" w:after="0"/>
        <w:ind w:left="420" w:hanging="420"/>
        <w:jc w:val="left"/>
      </w:pPr>
      <w:r>
        <w:rPr>
          <w:rFonts w:ascii="Times New Roman" w:hAnsi="Times New Roman" w:eastAsia="宋体"/>
          <w:b w:val="0"/>
          <w:sz w:val="20"/>
        </w:rPr>
        <w:t>[18] 邢科伟, 马秀让, 刘占卿. 油库加油站设计数据图表手册[M]. 北京: 中国石化出版社, 2015.</w:t>
      </w:r>
    </w:p>
    <w:p>
      <w:pPr>
        <w:widowControl/>
        <w:spacing w:line="240" w:lineRule="auto" w:after="0"/>
        <w:ind w:left="420" w:hanging="420"/>
        <w:jc w:val="left"/>
      </w:pPr>
      <w:r>
        <w:rPr>
          <w:rFonts w:ascii="Times New Roman" w:hAnsi="Times New Roman" w:eastAsia="宋体"/>
          <w:b w:val="0"/>
          <w:sz w:val="20"/>
        </w:rPr>
        <w:t>[19] 油库毕业设计指导书[Z]. 第五章“油库设计”: 139-154.</w:t>
      </w:r>
    </w:p>
    <w:p>
      <w:pPr>
        <w:widowControl/>
        <w:spacing w:line="240" w:lineRule="auto" w:after="0"/>
        <w:ind w:left="420" w:hanging="420"/>
        <w:jc w:val="left"/>
      </w:pPr>
      <w:r>
        <w:rPr>
          <w:rFonts w:ascii="Times New Roman" w:hAnsi="Times New Roman" w:eastAsia="宋体"/>
          <w:b w:val="0"/>
          <w:sz w:val="20"/>
        </w:rPr>
        <w:t>[20] 浅谈石油库总平面布置——合理的进行油库总平面布置[Z]. 2011(06): 16-17.</w:t>
      </w:r>
    </w:p>
    <w:p>
      <w:pPr>
        <w:widowControl/>
        <w:spacing w:line="240" w:lineRule="auto" w:after="0"/>
        <w:ind w:left="420" w:hanging="420"/>
        <w:jc w:val="left"/>
      </w:pPr>
      <w:r>
        <w:rPr>
          <w:rFonts w:ascii="Times New Roman" w:hAnsi="Times New Roman" w:eastAsia="宋体"/>
          <w:b w:val="0"/>
          <w:sz w:val="20"/>
        </w:rPr>
        <w:t>[21] 某油库工艺设计[Z]. 第二章“总平面布置”.</w:t>
      </w:r>
    </w:p>
    <w:sectPr w:rsidR="00FC693F" w:rsidRPr="0006063C" w:rsidSect="00034616">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3.2.3 油库竖向布置</dc:title>
  <dc:subject>广州黄埔区广深公路两旁油库毕业设计</dc:subject>
  <dc:creator>裴慧琳</dc:creator>
  <cp:keywords/>
  <dc:description>generated by python-docx</dc:description>
  <cp:lastModifiedBy/>
  <cp:revision>1</cp:revision>
  <dcterms:created xsi:type="dcterms:W3CDTF">2013-12-23T23:15:00Z</dcterms:created>
  <dcterms:modified xsi:type="dcterms:W3CDTF">2013-12-23T23:15:00Z</dcterms:modified>
  <cp:category/>
</cp:coreProperties>
</file>