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keepNext/>
        <w:spacing w:before="120" w:after="60"/>
      </w:pPr>
      <w:r>
        <w:rPr>
          <w:rFonts w:ascii="Times New Roman" w:hAnsi="Times New Roman" w:eastAsia="黑体"/>
          <w:b/>
          <w:sz w:val="32"/>
        </w:rPr>
        <w:t>5.1 储油罐计算及选型</w:t>
      </w:r>
    </w:p>
    <w:p>
      <w:pPr>
        <w:pStyle w:val="Heading3"/>
        <w:keepNext/>
        <w:spacing w:before="60" w:after="60"/>
      </w:pPr>
      <w:r>
        <w:rPr>
          <w:rFonts w:ascii="Times New Roman" w:hAnsi="Times New Roman" w:eastAsia="黑体"/>
          <w:b/>
          <w:sz w:val="28"/>
        </w:rPr>
        <w:t>5.1.1 设计依据及基础参数</w:t>
      </w:r>
    </w:p>
    <w:p>
      <w:pPr>
        <w:spacing w:line="360" w:lineRule="auto" w:before="0" w:after="0"/>
        <w:ind w:firstLine="420"/>
        <w:jc w:val="both"/>
      </w:pPr>
      <w:r>
        <w:rPr>
          <w:rFonts w:ascii="Times New Roman" w:hAnsi="Times New Roman" w:eastAsia="宋体"/>
          <w:b w:val="0"/>
          <w:sz w:val="24"/>
        </w:rPr>
        <w:t>本油库位于广州市黄埔区广深公路主干道两旁，储存92号汽油、95号汽油和0号柴油。年周转量分别为12×10⁴ t、8×10⁴ t和10×10⁴ t，密度分别取0.75 t/m³、0.75 t/m³和0.84 t/m³；场地年平均气温22.6 ℃、绝对最高气温39 ℃、绝对最低气温1.8 ℃，最大风速32.8 m/s。上述数据来自毕业设计计划表及前文设计条件</w:t>
      </w:r>
      <w:r>
        <w:rPr>
          <w:rFonts w:ascii="Times New Roman" w:hAnsi="Times New Roman" w:eastAsia="宋体"/>
          <w:b w:val="0"/>
          <w:sz w:val="24"/>
          <w:vertAlign w:val="superscript"/>
        </w:rPr>
        <w:t>[1]</w:t>
      </w:r>
      <w:r>
        <w:rPr>
          <w:rFonts w:ascii="Times New Roman" w:hAnsi="Times New Roman" w:eastAsia="宋体"/>
          <w:b w:val="0"/>
          <w:sz w:val="24"/>
        </w:rPr>
        <w:t>。储罐容量计算已在第4.1节完成，本节据此进行罐型、几何尺寸及结构选型。</w:t>
      </w:r>
    </w:p>
    <w:p>
      <w:pPr>
        <w:spacing w:line="360" w:lineRule="auto" w:before="0" w:after="0"/>
        <w:ind w:firstLine="420"/>
        <w:jc w:val="both"/>
      </w:pPr>
      <w:r>
        <w:rPr>
          <w:rFonts w:ascii="Times New Roman" w:hAnsi="Times New Roman" w:eastAsia="宋体"/>
          <w:b w:val="0"/>
          <w:sz w:val="24"/>
        </w:rPr>
        <w:t>92号、95号汽油按《石油库设计规范》GB 50074—2014第3.0.3条划为甲B类液体；0号柴油按闭口闪点不低于60 ℃的常温储存条件划为丙A类液体。汽油挥发性强，采用钢制内浮顶立式储罐；柴油采用固定拱顶立式储罐。常压立式储罐的结构设计执行现行《立式圆筒形钢制焊接油罐设计规范》GB 50341—2014。GB/T 150.1—2024第1.5a条明确排除设计压力低于0.1 MPa且真空度低于0.02 MPa的容器，因此本项目常压储罐不按压力容器公式计算。</w:t>
      </w:r>
    </w:p>
    <w:p>
      <w:pPr>
        <w:spacing w:line="360" w:lineRule="auto" w:before="0" w:after="0"/>
        <w:ind w:firstLine="420"/>
        <w:jc w:val="both"/>
      </w:pPr>
      <w:r>
        <w:rPr>
          <w:rFonts w:ascii="Times New Roman" w:hAnsi="Times New Roman" w:eastAsia="宋体"/>
          <w:b w:val="0"/>
          <w:sz w:val="24"/>
        </w:rPr>
        <w:t>储罐均为常温、无加热、无保温运行。最高设计温度暂取40 ℃，用于覆盖计划表给出的39 ℃绝对最高气温；最低设计温度暂按1.8 ℃控制。施工图阶段应按GB 50341—2014第3.0.2条，以场址专项气象资料核定正常操作条件下可能出现的最高、最低金属温度。汽油和柴油的黏度、电导率及腐蚀性用于泵管水力、防静电和防腐设计，不直接进入罐壁静液柱厚度公式，最终数值应以进库油品质量证明和检验数据为准。</w:t>
      </w:r>
    </w:p>
    <w:tbl>
      <w:tblPr>
        <w:tblStyle w:val="TableGrid"/>
        <w:tblW w:type="auto" w:w="0"/>
        <w:jc w:val="center"/>
        <w:tblLayout w:type="autofit"/>
        <w:tblLook w:firstColumn="1" w:firstRow="1" w:lastColumn="0" w:lastRow="0" w:noHBand="0" w:noVBand="1" w:val="04A0"/>
      </w:tblPr>
      <w:tblGrid>
        <w:gridCol w:w="1938"/>
        <w:gridCol w:w="1938"/>
        <w:gridCol w:w="1938"/>
        <w:gridCol w:w="1938"/>
        <w:gridCol w:w="1938"/>
      </w:tblGrid>
      <w:tr>
        <w:trPr>
          <w:tblHeader w:val="true"/>
          <w:cantSplit/>
        </w:trPr>
        <w:tc>
          <w:tcPr>
            <w:tcW w:type="dxa" w:w="1871"/>
            <w:vAlign w:val="center"/>
            <w:shd w:fill="D9EAF7"/>
          </w:tcPr>
          <w:p>
            <w:pPr>
              <w:spacing w:before="0" w:after="0" w:line="240" w:lineRule="auto"/>
              <w:jc w:val="center"/>
            </w:pPr>
            <w:r/>
            <w:r>
              <w:rPr>
                <w:rFonts w:ascii="Times New Roman" w:hAnsi="Times New Roman" w:eastAsia="宋体"/>
                <w:b/>
                <w:sz w:val="21"/>
              </w:rPr>
              <w:t>项目</w:t>
            </w:r>
          </w:p>
        </w:tc>
        <w:tc>
          <w:tcPr>
            <w:tcW w:type="dxa" w:w="1417"/>
            <w:vAlign w:val="center"/>
            <w:shd w:fill="D9EAF7"/>
          </w:tcPr>
          <w:p>
            <w:pPr>
              <w:spacing w:before="0" w:after="0" w:line="240" w:lineRule="auto"/>
              <w:jc w:val="center"/>
            </w:pPr>
            <w:r/>
            <w:r>
              <w:rPr>
                <w:rFonts w:ascii="Times New Roman" w:hAnsi="Times New Roman" w:eastAsia="宋体"/>
                <w:b/>
                <w:sz w:val="21"/>
              </w:rPr>
              <w:t>92号汽油</w:t>
            </w:r>
          </w:p>
        </w:tc>
        <w:tc>
          <w:tcPr>
            <w:tcW w:type="dxa" w:w="1417"/>
            <w:vAlign w:val="center"/>
            <w:shd w:fill="D9EAF7"/>
          </w:tcPr>
          <w:p>
            <w:pPr>
              <w:spacing w:before="0" w:after="0" w:line="240" w:lineRule="auto"/>
              <w:jc w:val="center"/>
            </w:pPr>
            <w:r/>
            <w:r>
              <w:rPr>
                <w:rFonts w:ascii="Times New Roman" w:hAnsi="Times New Roman" w:eastAsia="宋体"/>
                <w:b/>
                <w:sz w:val="21"/>
              </w:rPr>
              <w:t>95号汽油</w:t>
            </w:r>
          </w:p>
        </w:tc>
        <w:tc>
          <w:tcPr>
            <w:tcW w:type="dxa" w:w="1417"/>
            <w:vAlign w:val="center"/>
            <w:shd w:fill="D9EAF7"/>
          </w:tcPr>
          <w:p>
            <w:pPr>
              <w:spacing w:before="0" w:after="0" w:line="240" w:lineRule="auto"/>
              <w:jc w:val="center"/>
            </w:pPr>
            <w:r/>
            <w:r>
              <w:rPr>
                <w:rFonts w:ascii="Times New Roman" w:hAnsi="Times New Roman" w:eastAsia="宋体"/>
                <w:b/>
                <w:sz w:val="21"/>
              </w:rPr>
              <w:t>0号柴油</w:t>
            </w:r>
          </w:p>
        </w:tc>
        <w:tc>
          <w:tcPr>
            <w:tcW w:type="dxa" w:w="2835"/>
            <w:vAlign w:val="center"/>
            <w:shd w:fill="D9EAF7"/>
          </w:tcPr>
          <w:p>
            <w:pPr>
              <w:spacing w:before="0" w:after="0" w:line="240" w:lineRule="auto"/>
              <w:jc w:val="center"/>
            </w:pPr>
            <w:r/>
            <w:r>
              <w:rPr>
                <w:rFonts w:ascii="Times New Roman" w:hAnsi="Times New Roman" w:eastAsia="宋体"/>
                <w:b/>
                <w:sz w:val="21"/>
              </w:rPr>
              <w:t>来源或说明</w:t>
            </w:r>
          </w:p>
        </w:tc>
      </w:tr>
      <w:tr>
        <w:trPr>
          <w:cantSplit/>
        </w:trPr>
        <w:tc>
          <w:tcPr>
            <w:tcW w:type="dxa" w:w="1871"/>
            <w:vAlign w:val="center"/>
          </w:tcPr>
          <w:p>
            <w:pPr>
              <w:spacing w:before="0" w:after="0" w:line="240" w:lineRule="auto"/>
              <w:jc w:val="center"/>
            </w:pPr>
            <w:r/>
            <w:r>
              <w:rPr>
                <w:rFonts w:ascii="Times New Roman" w:hAnsi="Times New Roman" w:eastAsia="宋体"/>
                <w:b w:val="0"/>
                <w:sz w:val="21"/>
              </w:rPr>
              <w:t>年周转量/(10⁴ t·a⁻¹)</w:t>
            </w:r>
          </w:p>
        </w:tc>
        <w:tc>
          <w:tcPr>
            <w:tcW w:type="dxa" w:w="1417"/>
            <w:vAlign w:val="center"/>
          </w:tcPr>
          <w:p>
            <w:pPr>
              <w:spacing w:before="0" w:after="0" w:line="240" w:lineRule="auto"/>
              <w:jc w:val="center"/>
            </w:pPr>
            <w:r/>
            <w:r>
              <w:rPr>
                <w:rFonts w:ascii="Times New Roman" w:hAnsi="Times New Roman" w:eastAsia="宋体"/>
                <w:b w:val="0"/>
                <w:sz w:val="21"/>
              </w:rPr>
              <w:t>12</w:t>
            </w:r>
          </w:p>
        </w:tc>
        <w:tc>
          <w:tcPr>
            <w:tcW w:type="dxa" w:w="1417"/>
            <w:vAlign w:val="center"/>
          </w:tcPr>
          <w:p>
            <w:pPr>
              <w:spacing w:before="0" w:after="0" w:line="240" w:lineRule="auto"/>
              <w:jc w:val="center"/>
            </w:pPr>
            <w:r/>
            <w:r>
              <w:rPr>
                <w:rFonts w:ascii="Times New Roman" w:hAnsi="Times New Roman" w:eastAsia="宋体"/>
                <w:b w:val="0"/>
                <w:sz w:val="21"/>
              </w:rPr>
              <w:t>8</w:t>
            </w:r>
          </w:p>
        </w:tc>
        <w:tc>
          <w:tcPr>
            <w:tcW w:type="dxa" w:w="1417"/>
            <w:vAlign w:val="center"/>
          </w:tcPr>
          <w:p>
            <w:pPr>
              <w:spacing w:before="0" w:after="0" w:line="240" w:lineRule="auto"/>
              <w:jc w:val="center"/>
            </w:pPr>
            <w:r/>
            <w:r>
              <w:rPr>
                <w:rFonts w:ascii="Times New Roman" w:hAnsi="Times New Roman" w:eastAsia="宋体"/>
                <w:b w:val="0"/>
                <w:sz w:val="21"/>
              </w:rPr>
              <w:t>10</w:t>
            </w:r>
          </w:p>
        </w:tc>
        <w:tc>
          <w:tcPr>
            <w:tcW w:type="dxa" w:w="2835"/>
            <w:vAlign w:val="center"/>
          </w:tcPr>
          <w:p>
            <w:pPr>
              <w:spacing w:before="0" w:after="0" w:line="240" w:lineRule="auto"/>
              <w:jc w:val="center"/>
            </w:pPr>
            <w:r/>
            <w:r>
              <w:rPr>
                <w:rFonts w:ascii="Times New Roman" w:hAnsi="Times New Roman" w:eastAsia="宋体"/>
                <w:b w:val="0"/>
                <w:sz w:val="21"/>
              </w:rPr>
              <w:t>计划表</w:t>
            </w:r>
          </w:p>
        </w:tc>
      </w:tr>
      <w:tr>
        <w:trPr>
          <w:cantSplit/>
        </w:trPr>
        <w:tc>
          <w:tcPr>
            <w:tcW w:type="dxa" w:w="1871"/>
            <w:vAlign w:val="center"/>
          </w:tcPr>
          <w:p>
            <w:pPr>
              <w:spacing w:before="0" w:after="0" w:line="240" w:lineRule="auto"/>
              <w:jc w:val="center"/>
            </w:pPr>
            <w:r/>
            <w:r>
              <w:rPr>
                <w:rFonts w:ascii="Times New Roman" w:hAnsi="Times New Roman" w:eastAsia="宋体"/>
                <w:b w:val="0"/>
                <w:sz w:val="21"/>
              </w:rPr>
              <w:t>计算密度/(t·m⁻³)</w:t>
            </w:r>
          </w:p>
        </w:tc>
        <w:tc>
          <w:tcPr>
            <w:tcW w:type="dxa" w:w="1417"/>
            <w:vAlign w:val="center"/>
          </w:tcPr>
          <w:p>
            <w:pPr>
              <w:spacing w:before="0" w:after="0" w:line="240" w:lineRule="auto"/>
              <w:jc w:val="center"/>
            </w:pPr>
            <w:r/>
            <w:r>
              <w:rPr>
                <w:rFonts w:ascii="Times New Roman" w:hAnsi="Times New Roman" w:eastAsia="宋体"/>
                <w:b w:val="0"/>
                <w:sz w:val="21"/>
              </w:rPr>
              <w:t>0.75</w:t>
            </w:r>
          </w:p>
        </w:tc>
        <w:tc>
          <w:tcPr>
            <w:tcW w:type="dxa" w:w="1417"/>
            <w:vAlign w:val="center"/>
          </w:tcPr>
          <w:p>
            <w:pPr>
              <w:spacing w:before="0" w:after="0" w:line="240" w:lineRule="auto"/>
              <w:jc w:val="center"/>
            </w:pPr>
            <w:r/>
            <w:r>
              <w:rPr>
                <w:rFonts w:ascii="Times New Roman" w:hAnsi="Times New Roman" w:eastAsia="宋体"/>
                <w:b w:val="0"/>
                <w:sz w:val="21"/>
              </w:rPr>
              <w:t>0.75</w:t>
            </w:r>
          </w:p>
        </w:tc>
        <w:tc>
          <w:tcPr>
            <w:tcW w:type="dxa" w:w="1417"/>
            <w:vAlign w:val="center"/>
          </w:tcPr>
          <w:p>
            <w:pPr>
              <w:spacing w:before="0" w:after="0" w:line="240" w:lineRule="auto"/>
              <w:jc w:val="center"/>
            </w:pPr>
            <w:r/>
            <w:r>
              <w:rPr>
                <w:rFonts w:ascii="Times New Roman" w:hAnsi="Times New Roman" w:eastAsia="宋体"/>
                <w:b w:val="0"/>
                <w:sz w:val="21"/>
              </w:rPr>
              <w:t>0.84</w:t>
            </w:r>
          </w:p>
        </w:tc>
        <w:tc>
          <w:tcPr>
            <w:tcW w:type="dxa" w:w="2835"/>
            <w:vAlign w:val="center"/>
          </w:tcPr>
          <w:p>
            <w:pPr>
              <w:spacing w:before="0" w:after="0" w:line="240" w:lineRule="auto"/>
              <w:jc w:val="center"/>
            </w:pPr>
            <w:r/>
            <w:r>
              <w:rPr>
                <w:rFonts w:ascii="Times New Roman" w:hAnsi="Times New Roman" w:eastAsia="宋体"/>
                <w:b w:val="0"/>
                <w:sz w:val="21"/>
              </w:rPr>
              <w:t>前文第4.1节</w:t>
            </w:r>
          </w:p>
        </w:tc>
      </w:tr>
      <w:tr>
        <w:trPr>
          <w:cantSplit/>
        </w:trPr>
        <w:tc>
          <w:tcPr>
            <w:tcW w:type="dxa" w:w="1871"/>
            <w:vAlign w:val="center"/>
          </w:tcPr>
          <w:p>
            <w:pPr>
              <w:spacing w:before="0" w:after="0" w:line="240" w:lineRule="auto"/>
              <w:jc w:val="center"/>
            </w:pPr>
            <w:r/>
            <w:r>
              <w:rPr>
                <w:rFonts w:ascii="Times New Roman" w:hAnsi="Times New Roman" w:eastAsia="宋体"/>
                <w:b w:val="0"/>
                <w:sz w:val="21"/>
              </w:rPr>
              <w:t>火灾危险类别</w:t>
            </w:r>
          </w:p>
        </w:tc>
        <w:tc>
          <w:tcPr>
            <w:tcW w:type="dxa" w:w="1417"/>
            <w:vAlign w:val="center"/>
          </w:tcPr>
          <w:p>
            <w:pPr>
              <w:spacing w:before="0" w:after="0" w:line="240" w:lineRule="auto"/>
              <w:jc w:val="center"/>
            </w:pPr>
            <w:r/>
            <w:r>
              <w:rPr>
                <w:rFonts w:ascii="Times New Roman" w:hAnsi="Times New Roman" w:eastAsia="宋体"/>
                <w:b w:val="0"/>
                <w:sz w:val="21"/>
              </w:rPr>
              <w:t>甲B</w:t>
            </w:r>
          </w:p>
        </w:tc>
        <w:tc>
          <w:tcPr>
            <w:tcW w:type="dxa" w:w="1417"/>
            <w:vAlign w:val="center"/>
          </w:tcPr>
          <w:p>
            <w:pPr>
              <w:spacing w:before="0" w:after="0" w:line="240" w:lineRule="auto"/>
              <w:jc w:val="center"/>
            </w:pPr>
            <w:r/>
            <w:r>
              <w:rPr>
                <w:rFonts w:ascii="Times New Roman" w:hAnsi="Times New Roman" w:eastAsia="宋体"/>
                <w:b w:val="0"/>
                <w:sz w:val="21"/>
              </w:rPr>
              <w:t>甲B</w:t>
            </w:r>
          </w:p>
        </w:tc>
        <w:tc>
          <w:tcPr>
            <w:tcW w:type="dxa" w:w="1417"/>
            <w:vAlign w:val="center"/>
          </w:tcPr>
          <w:p>
            <w:pPr>
              <w:spacing w:before="0" w:after="0" w:line="240" w:lineRule="auto"/>
              <w:jc w:val="center"/>
            </w:pPr>
            <w:r/>
            <w:r>
              <w:rPr>
                <w:rFonts w:ascii="Times New Roman" w:hAnsi="Times New Roman" w:eastAsia="宋体"/>
                <w:b w:val="0"/>
                <w:sz w:val="21"/>
              </w:rPr>
              <w:t>丙A</w:t>
            </w:r>
          </w:p>
        </w:tc>
        <w:tc>
          <w:tcPr>
            <w:tcW w:type="dxa" w:w="2835"/>
            <w:vAlign w:val="center"/>
          </w:tcPr>
          <w:p>
            <w:pPr>
              <w:spacing w:before="0" w:after="0" w:line="240" w:lineRule="auto"/>
              <w:jc w:val="center"/>
            </w:pPr>
            <w:r/>
            <w:r>
              <w:rPr>
                <w:rFonts w:ascii="Times New Roman" w:hAnsi="Times New Roman" w:eastAsia="宋体"/>
                <w:b w:val="0"/>
                <w:sz w:val="21"/>
              </w:rPr>
              <w:t>GB 50074—2014第3.0.3条</w:t>
            </w:r>
          </w:p>
        </w:tc>
      </w:tr>
      <w:tr>
        <w:trPr>
          <w:cantSplit/>
        </w:trPr>
        <w:tc>
          <w:tcPr>
            <w:tcW w:type="dxa" w:w="1871"/>
            <w:vAlign w:val="center"/>
          </w:tcPr>
          <w:p>
            <w:pPr>
              <w:spacing w:before="0" w:after="0" w:line="240" w:lineRule="auto"/>
              <w:jc w:val="center"/>
            </w:pPr>
            <w:r/>
            <w:r>
              <w:rPr>
                <w:rFonts w:ascii="Times New Roman" w:hAnsi="Times New Roman" w:eastAsia="宋体"/>
                <w:b w:val="0"/>
                <w:sz w:val="21"/>
              </w:rPr>
              <w:t>计算需要容量/m³</w:t>
            </w:r>
          </w:p>
        </w:tc>
        <w:tc>
          <w:tcPr>
            <w:tcW w:type="dxa" w:w="1417"/>
            <w:vAlign w:val="center"/>
          </w:tcPr>
          <w:p>
            <w:pPr>
              <w:spacing w:before="0" w:after="0" w:line="240" w:lineRule="auto"/>
              <w:jc w:val="center"/>
            </w:pPr>
            <w:r/>
            <w:r>
              <w:rPr>
                <w:rFonts w:ascii="Times New Roman" w:hAnsi="Times New Roman" w:eastAsia="宋体"/>
                <w:b w:val="0"/>
                <w:sz w:val="21"/>
              </w:rPr>
              <w:t>56140</w:t>
            </w:r>
          </w:p>
        </w:tc>
        <w:tc>
          <w:tcPr>
            <w:tcW w:type="dxa" w:w="1417"/>
            <w:vAlign w:val="center"/>
          </w:tcPr>
          <w:p>
            <w:pPr>
              <w:spacing w:before="0" w:after="0" w:line="240" w:lineRule="auto"/>
              <w:jc w:val="center"/>
            </w:pPr>
            <w:r/>
            <w:r>
              <w:rPr>
                <w:rFonts w:ascii="Times New Roman" w:hAnsi="Times New Roman" w:eastAsia="宋体"/>
                <w:b w:val="0"/>
                <w:sz w:val="21"/>
              </w:rPr>
              <w:t>37426</w:t>
            </w:r>
          </w:p>
        </w:tc>
        <w:tc>
          <w:tcPr>
            <w:tcW w:type="dxa" w:w="1417"/>
            <w:vAlign w:val="center"/>
          </w:tcPr>
          <w:p>
            <w:pPr>
              <w:spacing w:before="0" w:after="0" w:line="240" w:lineRule="auto"/>
              <w:jc w:val="center"/>
            </w:pPr>
            <w:r/>
            <w:r>
              <w:rPr>
                <w:rFonts w:ascii="Times New Roman" w:hAnsi="Times New Roman" w:eastAsia="宋体"/>
                <w:b w:val="0"/>
                <w:sz w:val="21"/>
              </w:rPr>
              <w:t>41771</w:t>
            </w:r>
          </w:p>
        </w:tc>
        <w:tc>
          <w:tcPr>
            <w:tcW w:type="dxa" w:w="2835"/>
            <w:vAlign w:val="center"/>
          </w:tcPr>
          <w:p>
            <w:pPr>
              <w:spacing w:before="0" w:after="0" w:line="240" w:lineRule="auto"/>
              <w:jc w:val="center"/>
            </w:pPr>
            <w:r/>
            <w:r>
              <w:rPr>
                <w:rFonts w:ascii="Times New Roman" w:hAnsi="Times New Roman" w:eastAsia="宋体"/>
                <w:b w:val="0"/>
                <w:sz w:val="21"/>
              </w:rPr>
              <w:t>第4.1节，K=3 a⁻¹、η=0.95</w:t>
            </w:r>
          </w:p>
        </w:tc>
      </w:tr>
      <w:tr>
        <w:trPr>
          <w:cantSplit/>
        </w:trPr>
        <w:tc>
          <w:tcPr>
            <w:tcW w:type="dxa" w:w="1871"/>
            <w:vAlign w:val="center"/>
          </w:tcPr>
          <w:p>
            <w:pPr>
              <w:spacing w:before="0" w:after="0" w:line="240" w:lineRule="auto"/>
              <w:jc w:val="center"/>
            </w:pPr>
            <w:r/>
            <w:r>
              <w:rPr>
                <w:rFonts w:ascii="Times New Roman" w:hAnsi="Times New Roman" w:eastAsia="宋体"/>
                <w:b w:val="0"/>
                <w:sz w:val="21"/>
              </w:rPr>
              <w:t>储存状态</w:t>
            </w:r>
          </w:p>
        </w:tc>
        <w:tc>
          <w:tcPr>
            <w:tcW w:type="dxa" w:w="1417"/>
            <w:vAlign w:val="center"/>
          </w:tcPr>
          <w:p>
            <w:pPr>
              <w:spacing w:before="0" w:after="0" w:line="240" w:lineRule="auto"/>
              <w:jc w:val="center"/>
            </w:pPr>
            <w:r/>
            <w:r>
              <w:rPr>
                <w:rFonts w:ascii="Times New Roman" w:hAnsi="Times New Roman" w:eastAsia="宋体"/>
                <w:b w:val="0"/>
                <w:sz w:val="21"/>
              </w:rPr>
              <w:t>常温、常压</w:t>
            </w:r>
          </w:p>
        </w:tc>
        <w:tc>
          <w:tcPr>
            <w:tcW w:type="dxa" w:w="1417"/>
            <w:vAlign w:val="center"/>
          </w:tcPr>
          <w:p>
            <w:pPr>
              <w:spacing w:before="0" w:after="0" w:line="240" w:lineRule="auto"/>
              <w:jc w:val="center"/>
            </w:pPr>
            <w:r/>
            <w:r>
              <w:rPr>
                <w:rFonts w:ascii="Times New Roman" w:hAnsi="Times New Roman" w:eastAsia="宋体"/>
                <w:b w:val="0"/>
                <w:sz w:val="21"/>
              </w:rPr>
              <w:t>常温、常压</w:t>
            </w:r>
          </w:p>
        </w:tc>
        <w:tc>
          <w:tcPr>
            <w:tcW w:type="dxa" w:w="1417"/>
            <w:vAlign w:val="center"/>
          </w:tcPr>
          <w:p>
            <w:pPr>
              <w:spacing w:before="0" w:after="0" w:line="240" w:lineRule="auto"/>
              <w:jc w:val="center"/>
            </w:pPr>
            <w:r/>
            <w:r>
              <w:rPr>
                <w:rFonts w:ascii="Times New Roman" w:hAnsi="Times New Roman" w:eastAsia="宋体"/>
                <w:b w:val="0"/>
                <w:sz w:val="21"/>
              </w:rPr>
              <w:t>常温、常压</w:t>
            </w:r>
          </w:p>
        </w:tc>
        <w:tc>
          <w:tcPr>
            <w:tcW w:type="dxa" w:w="2835"/>
            <w:vAlign w:val="center"/>
          </w:tcPr>
          <w:p>
            <w:pPr>
              <w:spacing w:before="0" w:after="0" w:line="240" w:lineRule="auto"/>
              <w:jc w:val="center"/>
            </w:pPr>
            <w:r/>
            <w:r>
              <w:rPr>
                <w:rFonts w:ascii="Times New Roman" w:hAnsi="Times New Roman" w:eastAsia="宋体"/>
                <w:b w:val="0"/>
                <w:sz w:val="21"/>
              </w:rPr>
              <w:t>不设置加热及保温</w:t>
            </w:r>
          </w:p>
        </w:tc>
      </w:tr>
    </w:tbl>
    <w:p>
      <w:pPr>
        <w:spacing w:after="0"/>
      </w:pPr>
    </w:p>
    <w:p>
      <w:pPr>
        <w:pStyle w:val="Heading3"/>
        <w:keepNext/>
        <w:spacing w:before="60" w:after="60"/>
      </w:pPr>
      <w:r>
        <w:rPr>
          <w:rFonts w:ascii="Times New Roman" w:hAnsi="Times New Roman" w:eastAsia="黑体"/>
          <w:b/>
          <w:sz w:val="28"/>
        </w:rPr>
        <w:t>5.1.2 罐型及容量配置</w:t>
      </w:r>
    </w:p>
    <w:p>
      <w:pPr>
        <w:spacing w:line="360" w:lineRule="auto" w:before="0" w:after="0"/>
        <w:ind w:firstLine="420"/>
        <w:jc w:val="both"/>
      </w:pPr>
      <w:r>
        <w:rPr>
          <w:rFonts w:ascii="Times New Roman" w:hAnsi="Times New Roman" w:eastAsia="宋体"/>
          <w:b w:val="0"/>
          <w:sz w:val="24"/>
        </w:rPr>
        <w:t>依据GB 50074—2014第6.1节，甲B类汽油采用内浮顶罐，以降低储存过程蒸发损耗；内浮顶采用金属隔舱式结构并设置一次、二次密封，不采用浅盘式或敞口隔舱式浮顶。0号柴油挥发性较低，采用固定拱顶罐。三种油品分别设罐并设置独立进出油支管，避免不同牌号汽油及汽、柴油之间发生串油。</w:t>
      </w:r>
    </w:p>
    <w:p>
      <w:pPr>
        <w:spacing w:line="360" w:lineRule="auto" w:before="0" w:after="0"/>
        <w:ind w:firstLine="420"/>
        <w:jc w:val="both"/>
      </w:pPr>
      <w:r>
        <w:rPr>
          <w:rFonts w:ascii="Times New Roman" w:hAnsi="Times New Roman" w:eastAsia="宋体"/>
          <w:b w:val="0"/>
          <w:sz w:val="24"/>
        </w:rPr>
        <w:t>罐容配置沿用第4.1节的周转系数法，轻油罐容利用系数取η=0.95，选用标准化公称容积组合</w:t>
      </w:r>
      <w:r>
        <w:rPr>
          <w:rFonts w:ascii="Times New Roman" w:hAnsi="Times New Roman" w:eastAsia="宋体"/>
          <w:b w:val="0"/>
          <w:sz w:val="24"/>
          <w:vertAlign w:val="superscript"/>
        </w:rPr>
        <w:t>[2]</w:t>
      </w:r>
      <w:r>
        <w:rPr>
          <w:rFonts w:ascii="Times New Roman" w:hAnsi="Times New Roman" w:eastAsia="宋体"/>
          <w:b w:val="0"/>
          <w:sz w:val="24"/>
        </w:rPr>
        <w:t>。3万m³储罐初选内径D=46.0 m、壁高Hₜ=18.0 m；1万m³储罐初选D=28.5 m、Hₜ=16.0 m。几何容积及按95%液位计算的工作容积分别为：</w:t>
      </w:r>
    </w:p>
    <w:p>
      <w:pPr>
        <w:spacing w:before="60" w:after="60"/>
        <w:jc w:val="center"/>
      </w:pPr>
      <w:r>
        <w:rPr>
          <w:rFonts w:ascii="Cambria Math" w:hAnsi="Cambria Math" w:eastAsia="Cambria Math"/>
          <w:b w:val="0"/>
          <w:sz w:val="23"/>
        </w:rPr>
        <w:t>V = πD²H / 4</w:t>
      </w:r>
    </w:p>
    <w:p>
      <w:pPr>
        <w:spacing w:before="60" w:after="60"/>
        <w:jc w:val="center"/>
      </w:pPr>
      <w:r>
        <w:rPr>
          <w:rFonts w:ascii="Cambria Math" w:hAnsi="Cambria Math" w:eastAsia="Cambria Math"/>
          <w:b w:val="0"/>
          <w:sz w:val="23"/>
        </w:rPr>
        <w:t>V₃₀₀₀₀ = π×46.0²×18.0/4 = 29914 m³；Vw = 29914×0.95 = 28419 m³</w:t>
      </w:r>
    </w:p>
    <w:p>
      <w:pPr>
        <w:spacing w:before="60" w:after="60"/>
        <w:jc w:val="center"/>
      </w:pPr>
      <w:r>
        <w:rPr>
          <w:rFonts w:ascii="Cambria Math" w:hAnsi="Cambria Math" w:eastAsia="Cambria Math"/>
          <w:b w:val="0"/>
          <w:sz w:val="23"/>
        </w:rPr>
        <w:t>V₁₀₀₀₀ = π×28.5²×16.0/4 = 10207 m³；Vw = 10207×0.95 = 9697 m³</w:t>
      </w:r>
    </w:p>
    <w:p>
      <w:pPr>
        <w:spacing w:line="360" w:lineRule="auto" w:before="0" w:after="0"/>
        <w:ind w:firstLine="420"/>
        <w:jc w:val="both"/>
      </w:pPr>
      <w:r>
        <w:rPr>
          <w:rFonts w:ascii="Times New Roman" w:hAnsi="Times New Roman" w:eastAsia="宋体"/>
          <w:b w:val="0"/>
          <w:sz w:val="24"/>
        </w:rPr>
        <w:t>92号汽油两座3万m³罐的有效工作容量为56838 m³，大于56140 m³；95号汽油一座3万m³罐与一座1万m³罐的有效工作容量为38116 m³，大于37426 m³；0号柴油两座3万m³罐的有效工作容量为56838 m³，大于41771 m³。配置满足计算需要容量，并具备同品种切罐、检修和沉降观察条件。全库储罐实际公称总容量为160000 m³，按GB 50074—2014第3.0.1条折算后的分级计算总容量为130000 m³，两者不得混用。</w:t>
      </w:r>
    </w:p>
    <w:tbl>
      <w:tblPr>
        <w:tblStyle w:val="TableGrid"/>
        <w:tblW w:type="auto" w:w="0"/>
        <w:jc w:val="center"/>
        <w:tblLayout w:type="autofit"/>
        <w:tblLook w:firstColumn="1" w:firstRow="1" w:lastColumn="0" w:lastRow="0" w:noHBand="0" w:noVBand="1" w:val="04A0"/>
      </w:tblPr>
      <w:tblGrid>
        <w:gridCol w:w="1615"/>
        <w:gridCol w:w="1615"/>
        <w:gridCol w:w="1615"/>
        <w:gridCol w:w="1615"/>
        <w:gridCol w:w="1615"/>
        <w:gridCol w:w="1615"/>
      </w:tblGrid>
      <w:tr>
        <w:trPr>
          <w:tblHeader w:val="true"/>
          <w:cantSplit/>
        </w:trPr>
        <w:tc>
          <w:tcPr>
            <w:tcW w:type="dxa" w:w="1417"/>
            <w:vAlign w:val="center"/>
            <w:shd w:fill="D9EAF7"/>
          </w:tcPr>
          <w:p>
            <w:pPr>
              <w:spacing w:before="0" w:after="0" w:line="240" w:lineRule="auto"/>
              <w:jc w:val="center"/>
            </w:pPr>
            <w:r/>
            <w:r>
              <w:rPr>
                <w:rFonts w:ascii="Times New Roman" w:hAnsi="Times New Roman" w:eastAsia="宋体"/>
                <w:b/>
                <w:sz w:val="21"/>
              </w:rPr>
              <w:t>油品</w:t>
            </w:r>
          </w:p>
        </w:tc>
        <w:tc>
          <w:tcPr>
            <w:tcW w:type="dxa" w:w="1814"/>
            <w:vAlign w:val="center"/>
            <w:shd w:fill="D9EAF7"/>
          </w:tcPr>
          <w:p>
            <w:pPr>
              <w:spacing w:before="0" w:after="0" w:line="240" w:lineRule="auto"/>
              <w:jc w:val="center"/>
            </w:pPr>
            <w:r/>
            <w:r>
              <w:rPr>
                <w:rFonts w:ascii="Times New Roman" w:hAnsi="Times New Roman" w:eastAsia="宋体"/>
                <w:b/>
                <w:sz w:val="21"/>
              </w:rPr>
              <w:t>罐型</w:t>
            </w:r>
          </w:p>
        </w:tc>
        <w:tc>
          <w:tcPr>
            <w:tcW w:type="dxa" w:w="1871"/>
            <w:vAlign w:val="center"/>
            <w:shd w:fill="D9EAF7"/>
          </w:tcPr>
          <w:p>
            <w:pPr>
              <w:spacing w:before="0" w:after="0" w:line="240" w:lineRule="auto"/>
              <w:jc w:val="center"/>
            </w:pPr>
            <w:r/>
            <w:r>
              <w:rPr>
                <w:rFonts w:ascii="Times New Roman" w:hAnsi="Times New Roman" w:eastAsia="宋体"/>
                <w:b/>
                <w:sz w:val="21"/>
              </w:rPr>
              <w:t>单罐规格</w:t>
            </w:r>
          </w:p>
        </w:tc>
        <w:tc>
          <w:tcPr>
            <w:tcW w:type="dxa" w:w="964"/>
            <w:vAlign w:val="center"/>
            <w:shd w:fill="D9EAF7"/>
          </w:tcPr>
          <w:p>
            <w:pPr>
              <w:spacing w:before="0" w:after="0" w:line="240" w:lineRule="auto"/>
              <w:jc w:val="center"/>
            </w:pPr>
            <w:r/>
            <w:r>
              <w:rPr>
                <w:rFonts w:ascii="Times New Roman" w:hAnsi="Times New Roman" w:eastAsia="宋体"/>
                <w:b/>
                <w:sz w:val="21"/>
              </w:rPr>
              <w:t>数量/座</w:t>
            </w:r>
          </w:p>
        </w:tc>
        <w:tc>
          <w:tcPr>
            <w:tcW w:type="dxa" w:w="1417"/>
            <w:vAlign w:val="center"/>
            <w:shd w:fill="D9EAF7"/>
          </w:tcPr>
          <w:p>
            <w:pPr>
              <w:spacing w:before="0" w:after="0" w:line="240" w:lineRule="auto"/>
              <w:jc w:val="center"/>
            </w:pPr>
            <w:r/>
            <w:r>
              <w:rPr>
                <w:rFonts w:ascii="Times New Roman" w:hAnsi="Times New Roman" w:eastAsia="宋体"/>
                <w:b/>
                <w:sz w:val="21"/>
              </w:rPr>
              <w:t>公称容量/m³</w:t>
            </w:r>
          </w:p>
        </w:tc>
        <w:tc>
          <w:tcPr>
            <w:tcW w:type="dxa" w:w="1701"/>
            <w:vAlign w:val="center"/>
            <w:shd w:fill="D9EAF7"/>
          </w:tcPr>
          <w:p>
            <w:pPr>
              <w:spacing w:before="0" w:after="0" w:line="240" w:lineRule="auto"/>
              <w:jc w:val="center"/>
            </w:pPr>
            <w:r/>
            <w:r>
              <w:rPr>
                <w:rFonts w:ascii="Times New Roman" w:hAnsi="Times New Roman" w:eastAsia="宋体"/>
                <w:b/>
                <w:sz w:val="21"/>
              </w:rPr>
              <w:t>有效工作容量/m³</w:t>
            </w:r>
          </w:p>
        </w:tc>
      </w:tr>
      <w:tr>
        <w:trPr>
          <w:cantSplit/>
        </w:trPr>
        <w:tc>
          <w:tcPr>
            <w:tcW w:type="dxa" w:w="1417"/>
            <w:vAlign w:val="center"/>
          </w:tcPr>
          <w:p>
            <w:pPr>
              <w:spacing w:before="0" w:after="0" w:line="240" w:lineRule="auto"/>
              <w:jc w:val="center"/>
            </w:pPr>
            <w:r/>
            <w:r>
              <w:rPr>
                <w:rFonts w:ascii="Times New Roman" w:hAnsi="Times New Roman" w:eastAsia="宋体"/>
                <w:b w:val="0"/>
                <w:sz w:val="21"/>
              </w:rPr>
              <w:t>92号汽油</w:t>
            </w:r>
          </w:p>
        </w:tc>
        <w:tc>
          <w:tcPr>
            <w:tcW w:type="dxa" w:w="1814"/>
            <w:vAlign w:val="center"/>
          </w:tcPr>
          <w:p>
            <w:pPr>
              <w:spacing w:before="0" w:after="0" w:line="240" w:lineRule="auto"/>
              <w:jc w:val="center"/>
            </w:pPr>
            <w:r/>
            <w:r>
              <w:rPr>
                <w:rFonts w:ascii="Times New Roman" w:hAnsi="Times New Roman" w:eastAsia="宋体"/>
                <w:b w:val="0"/>
                <w:sz w:val="21"/>
              </w:rPr>
              <w:t>钢制内浮顶罐</w:t>
            </w:r>
          </w:p>
        </w:tc>
        <w:tc>
          <w:tcPr>
            <w:tcW w:type="dxa" w:w="1871"/>
            <w:vAlign w:val="center"/>
          </w:tcPr>
          <w:p>
            <w:pPr>
              <w:spacing w:before="0" w:after="0" w:line="240" w:lineRule="auto"/>
              <w:jc w:val="center"/>
            </w:pPr>
            <w:r/>
            <w:r>
              <w:rPr>
                <w:rFonts w:ascii="Times New Roman" w:hAnsi="Times New Roman" w:eastAsia="宋体"/>
                <w:b w:val="0"/>
                <w:sz w:val="21"/>
              </w:rPr>
              <w:t>D46.0 m×H18.0 m</w:t>
            </w:r>
          </w:p>
        </w:tc>
        <w:tc>
          <w:tcPr>
            <w:tcW w:type="dxa" w:w="964"/>
            <w:vAlign w:val="center"/>
          </w:tcPr>
          <w:p>
            <w:pPr>
              <w:spacing w:before="0" w:after="0" w:line="240" w:lineRule="auto"/>
              <w:jc w:val="center"/>
            </w:pPr>
            <w:r/>
            <w:r>
              <w:rPr>
                <w:rFonts w:ascii="Times New Roman" w:hAnsi="Times New Roman" w:eastAsia="宋体"/>
                <w:b w:val="0"/>
                <w:sz w:val="21"/>
              </w:rPr>
              <w:t>2</w:t>
            </w:r>
          </w:p>
        </w:tc>
        <w:tc>
          <w:tcPr>
            <w:tcW w:type="dxa" w:w="1417"/>
            <w:vAlign w:val="center"/>
          </w:tcPr>
          <w:p>
            <w:pPr>
              <w:spacing w:before="0" w:after="0" w:line="240" w:lineRule="auto"/>
              <w:jc w:val="center"/>
            </w:pPr>
            <w:r/>
            <w:r>
              <w:rPr>
                <w:rFonts w:ascii="Times New Roman" w:hAnsi="Times New Roman" w:eastAsia="宋体"/>
                <w:b w:val="0"/>
                <w:sz w:val="21"/>
              </w:rPr>
              <w:t>60000</w:t>
            </w:r>
          </w:p>
        </w:tc>
        <w:tc>
          <w:tcPr>
            <w:tcW w:type="dxa" w:w="1701"/>
            <w:vAlign w:val="center"/>
          </w:tcPr>
          <w:p>
            <w:pPr>
              <w:spacing w:before="0" w:after="0" w:line="240" w:lineRule="auto"/>
              <w:jc w:val="center"/>
            </w:pPr>
            <w:r/>
            <w:r>
              <w:rPr>
                <w:rFonts w:ascii="Times New Roman" w:hAnsi="Times New Roman" w:eastAsia="宋体"/>
                <w:b w:val="0"/>
                <w:sz w:val="21"/>
              </w:rPr>
              <w:t>56838</w:t>
            </w:r>
          </w:p>
        </w:tc>
      </w:tr>
      <w:tr>
        <w:trPr>
          <w:cantSplit/>
        </w:trPr>
        <w:tc>
          <w:tcPr>
            <w:tcW w:type="dxa" w:w="1417"/>
            <w:vAlign w:val="center"/>
          </w:tcPr>
          <w:p>
            <w:pPr>
              <w:spacing w:before="0" w:after="0" w:line="240" w:lineRule="auto"/>
              <w:jc w:val="center"/>
            </w:pPr>
            <w:r/>
            <w:r>
              <w:rPr>
                <w:rFonts w:ascii="Times New Roman" w:hAnsi="Times New Roman" w:eastAsia="宋体"/>
                <w:b w:val="0"/>
                <w:sz w:val="21"/>
              </w:rPr>
              <w:t>95号汽油</w:t>
            </w:r>
          </w:p>
        </w:tc>
        <w:tc>
          <w:tcPr>
            <w:tcW w:type="dxa" w:w="1814"/>
            <w:vAlign w:val="center"/>
          </w:tcPr>
          <w:p>
            <w:pPr>
              <w:spacing w:before="0" w:after="0" w:line="240" w:lineRule="auto"/>
              <w:jc w:val="center"/>
            </w:pPr>
            <w:r/>
            <w:r>
              <w:rPr>
                <w:rFonts w:ascii="Times New Roman" w:hAnsi="Times New Roman" w:eastAsia="宋体"/>
                <w:b w:val="0"/>
                <w:sz w:val="21"/>
              </w:rPr>
              <w:t>钢制内浮顶罐</w:t>
            </w:r>
          </w:p>
        </w:tc>
        <w:tc>
          <w:tcPr>
            <w:tcW w:type="dxa" w:w="1871"/>
            <w:vAlign w:val="center"/>
          </w:tcPr>
          <w:p>
            <w:pPr>
              <w:spacing w:before="0" w:after="0" w:line="240" w:lineRule="auto"/>
              <w:jc w:val="center"/>
            </w:pPr>
            <w:r/>
            <w:r>
              <w:rPr>
                <w:rFonts w:ascii="Times New Roman" w:hAnsi="Times New Roman" w:eastAsia="宋体"/>
                <w:b w:val="0"/>
                <w:sz w:val="21"/>
              </w:rPr>
              <w:t>D46.0 m×H18.0 m</w:t>
            </w:r>
          </w:p>
        </w:tc>
        <w:tc>
          <w:tcPr>
            <w:tcW w:type="dxa" w:w="964"/>
            <w:vAlign w:val="center"/>
          </w:tcPr>
          <w:p>
            <w:pPr>
              <w:spacing w:before="0" w:after="0" w:line="240" w:lineRule="auto"/>
              <w:jc w:val="center"/>
            </w:pPr>
            <w:r/>
            <w:r>
              <w:rPr>
                <w:rFonts w:ascii="Times New Roman" w:hAnsi="Times New Roman" w:eastAsia="宋体"/>
                <w:b w:val="0"/>
                <w:sz w:val="21"/>
              </w:rPr>
              <w:t>1</w:t>
            </w:r>
          </w:p>
        </w:tc>
        <w:tc>
          <w:tcPr>
            <w:tcW w:type="dxa" w:w="1417"/>
            <w:vAlign w:val="center"/>
          </w:tcPr>
          <w:p>
            <w:pPr>
              <w:spacing w:before="0" w:after="0" w:line="240" w:lineRule="auto"/>
              <w:jc w:val="center"/>
            </w:pPr>
            <w:r/>
            <w:r>
              <w:rPr>
                <w:rFonts w:ascii="Times New Roman" w:hAnsi="Times New Roman" w:eastAsia="宋体"/>
                <w:b w:val="0"/>
                <w:sz w:val="21"/>
              </w:rPr>
              <w:t>30000</w:t>
            </w:r>
          </w:p>
        </w:tc>
        <w:tc>
          <w:tcPr>
            <w:tcW w:type="dxa" w:w="1701"/>
            <w:vAlign w:val="center"/>
          </w:tcPr>
          <w:p>
            <w:pPr>
              <w:spacing w:before="0" w:after="0" w:line="240" w:lineRule="auto"/>
              <w:jc w:val="center"/>
            </w:pPr>
            <w:r/>
            <w:r>
              <w:rPr>
                <w:rFonts w:ascii="Times New Roman" w:hAnsi="Times New Roman" w:eastAsia="宋体"/>
                <w:b w:val="0"/>
                <w:sz w:val="21"/>
              </w:rPr>
              <w:t>28419</w:t>
            </w:r>
          </w:p>
        </w:tc>
      </w:tr>
      <w:tr>
        <w:trPr>
          <w:cantSplit/>
        </w:trPr>
        <w:tc>
          <w:tcPr>
            <w:tcW w:type="dxa" w:w="1417"/>
            <w:vAlign w:val="center"/>
          </w:tcPr>
          <w:p>
            <w:pPr>
              <w:spacing w:before="0" w:after="0" w:line="240" w:lineRule="auto"/>
              <w:jc w:val="center"/>
            </w:pPr>
            <w:r/>
            <w:r>
              <w:rPr>
                <w:rFonts w:ascii="Times New Roman" w:hAnsi="Times New Roman" w:eastAsia="宋体"/>
                <w:b w:val="0"/>
                <w:sz w:val="21"/>
              </w:rPr>
              <w:t>95号汽油</w:t>
            </w:r>
          </w:p>
        </w:tc>
        <w:tc>
          <w:tcPr>
            <w:tcW w:type="dxa" w:w="1814"/>
            <w:vAlign w:val="center"/>
          </w:tcPr>
          <w:p>
            <w:pPr>
              <w:spacing w:before="0" w:after="0" w:line="240" w:lineRule="auto"/>
              <w:jc w:val="center"/>
            </w:pPr>
            <w:r/>
            <w:r>
              <w:rPr>
                <w:rFonts w:ascii="Times New Roman" w:hAnsi="Times New Roman" w:eastAsia="宋体"/>
                <w:b w:val="0"/>
                <w:sz w:val="21"/>
              </w:rPr>
              <w:t>钢制内浮顶罐</w:t>
            </w:r>
          </w:p>
        </w:tc>
        <w:tc>
          <w:tcPr>
            <w:tcW w:type="dxa" w:w="1871"/>
            <w:vAlign w:val="center"/>
          </w:tcPr>
          <w:p>
            <w:pPr>
              <w:spacing w:before="0" w:after="0" w:line="240" w:lineRule="auto"/>
              <w:jc w:val="center"/>
            </w:pPr>
            <w:r/>
            <w:r>
              <w:rPr>
                <w:rFonts w:ascii="Times New Roman" w:hAnsi="Times New Roman" w:eastAsia="宋体"/>
                <w:b w:val="0"/>
                <w:sz w:val="21"/>
              </w:rPr>
              <w:t>D28.5 m×H16.0 m</w:t>
            </w:r>
          </w:p>
        </w:tc>
        <w:tc>
          <w:tcPr>
            <w:tcW w:type="dxa" w:w="964"/>
            <w:vAlign w:val="center"/>
          </w:tcPr>
          <w:p>
            <w:pPr>
              <w:spacing w:before="0" w:after="0" w:line="240" w:lineRule="auto"/>
              <w:jc w:val="center"/>
            </w:pPr>
            <w:r/>
            <w:r>
              <w:rPr>
                <w:rFonts w:ascii="Times New Roman" w:hAnsi="Times New Roman" w:eastAsia="宋体"/>
                <w:b w:val="0"/>
                <w:sz w:val="21"/>
              </w:rPr>
              <w:t>1</w:t>
            </w:r>
          </w:p>
        </w:tc>
        <w:tc>
          <w:tcPr>
            <w:tcW w:type="dxa" w:w="1417"/>
            <w:vAlign w:val="center"/>
          </w:tcPr>
          <w:p>
            <w:pPr>
              <w:spacing w:before="0" w:after="0" w:line="240" w:lineRule="auto"/>
              <w:jc w:val="center"/>
            </w:pPr>
            <w:r/>
            <w:r>
              <w:rPr>
                <w:rFonts w:ascii="Times New Roman" w:hAnsi="Times New Roman" w:eastAsia="宋体"/>
                <w:b w:val="0"/>
                <w:sz w:val="21"/>
              </w:rPr>
              <w:t>10000</w:t>
            </w:r>
          </w:p>
        </w:tc>
        <w:tc>
          <w:tcPr>
            <w:tcW w:type="dxa" w:w="1701"/>
            <w:vAlign w:val="center"/>
          </w:tcPr>
          <w:p>
            <w:pPr>
              <w:spacing w:before="0" w:after="0" w:line="240" w:lineRule="auto"/>
              <w:jc w:val="center"/>
            </w:pPr>
            <w:r/>
            <w:r>
              <w:rPr>
                <w:rFonts w:ascii="Times New Roman" w:hAnsi="Times New Roman" w:eastAsia="宋体"/>
                <w:b w:val="0"/>
                <w:sz w:val="21"/>
              </w:rPr>
              <w:t>9697</w:t>
            </w:r>
          </w:p>
        </w:tc>
      </w:tr>
      <w:tr>
        <w:trPr>
          <w:cantSplit/>
        </w:trPr>
        <w:tc>
          <w:tcPr>
            <w:tcW w:type="dxa" w:w="1417"/>
            <w:vAlign w:val="center"/>
          </w:tcPr>
          <w:p>
            <w:pPr>
              <w:spacing w:before="0" w:after="0" w:line="240" w:lineRule="auto"/>
              <w:jc w:val="center"/>
            </w:pPr>
            <w:r/>
            <w:r>
              <w:rPr>
                <w:rFonts w:ascii="Times New Roman" w:hAnsi="Times New Roman" w:eastAsia="宋体"/>
                <w:b w:val="0"/>
                <w:sz w:val="21"/>
              </w:rPr>
              <w:t>0号柴油</w:t>
            </w:r>
          </w:p>
        </w:tc>
        <w:tc>
          <w:tcPr>
            <w:tcW w:type="dxa" w:w="1814"/>
            <w:vAlign w:val="center"/>
          </w:tcPr>
          <w:p>
            <w:pPr>
              <w:spacing w:before="0" w:after="0" w:line="240" w:lineRule="auto"/>
              <w:jc w:val="center"/>
            </w:pPr>
            <w:r/>
            <w:r>
              <w:rPr>
                <w:rFonts w:ascii="Times New Roman" w:hAnsi="Times New Roman" w:eastAsia="宋体"/>
                <w:b w:val="0"/>
                <w:sz w:val="21"/>
              </w:rPr>
              <w:t>固定拱顶罐</w:t>
            </w:r>
          </w:p>
        </w:tc>
        <w:tc>
          <w:tcPr>
            <w:tcW w:type="dxa" w:w="1871"/>
            <w:vAlign w:val="center"/>
          </w:tcPr>
          <w:p>
            <w:pPr>
              <w:spacing w:before="0" w:after="0" w:line="240" w:lineRule="auto"/>
              <w:jc w:val="center"/>
            </w:pPr>
            <w:r/>
            <w:r>
              <w:rPr>
                <w:rFonts w:ascii="Times New Roman" w:hAnsi="Times New Roman" w:eastAsia="宋体"/>
                <w:b w:val="0"/>
                <w:sz w:val="21"/>
              </w:rPr>
              <w:t>D46.0 m×H18.0 m</w:t>
            </w:r>
          </w:p>
        </w:tc>
        <w:tc>
          <w:tcPr>
            <w:tcW w:type="dxa" w:w="964"/>
            <w:vAlign w:val="center"/>
          </w:tcPr>
          <w:p>
            <w:pPr>
              <w:spacing w:before="0" w:after="0" w:line="240" w:lineRule="auto"/>
              <w:jc w:val="center"/>
            </w:pPr>
            <w:r/>
            <w:r>
              <w:rPr>
                <w:rFonts w:ascii="Times New Roman" w:hAnsi="Times New Roman" w:eastAsia="宋体"/>
                <w:b w:val="0"/>
                <w:sz w:val="21"/>
              </w:rPr>
              <w:t>2</w:t>
            </w:r>
          </w:p>
        </w:tc>
        <w:tc>
          <w:tcPr>
            <w:tcW w:type="dxa" w:w="1417"/>
            <w:vAlign w:val="center"/>
          </w:tcPr>
          <w:p>
            <w:pPr>
              <w:spacing w:before="0" w:after="0" w:line="240" w:lineRule="auto"/>
              <w:jc w:val="center"/>
            </w:pPr>
            <w:r/>
            <w:r>
              <w:rPr>
                <w:rFonts w:ascii="Times New Roman" w:hAnsi="Times New Roman" w:eastAsia="宋体"/>
                <w:b w:val="0"/>
                <w:sz w:val="21"/>
              </w:rPr>
              <w:t>60000</w:t>
            </w:r>
          </w:p>
        </w:tc>
        <w:tc>
          <w:tcPr>
            <w:tcW w:type="dxa" w:w="1701"/>
            <w:vAlign w:val="center"/>
          </w:tcPr>
          <w:p>
            <w:pPr>
              <w:spacing w:before="0" w:after="0" w:line="240" w:lineRule="auto"/>
              <w:jc w:val="center"/>
            </w:pPr>
            <w:r/>
            <w:r>
              <w:rPr>
                <w:rFonts w:ascii="Times New Roman" w:hAnsi="Times New Roman" w:eastAsia="宋体"/>
                <w:b w:val="0"/>
                <w:sz w:val="21"/>
              </w:rPr>
              <w:t>56838</w:t>
            </w:r>
          </w:p>
        </w:tc>
      </w:tr>
    </w:tbl>
    <w:p>
      <w:pPr>
        <w:spacing w:after="0"/>
      </w:pPr>
    </w:p>
    <w:p>
      <w:pPr>
        <w:pStyle w:val="Heading3"/>
        <w:keepNext/>
        <w:spacing w:before="60" w:after="60"/>
      </w:pPr>
      <w:r>
        <w:rPr>
          <w:rFonts w:ascii="Times New Roman" w:hAnsi="Times New Roman" w:eastAsia="黑体"/>
          <w:b/>
          <w:sz w:val="28"/>
        </w:rPr>
        <w:t>5.1.3 罐壁厚度计算</w:t>
      </w:r>
    </w:p>
    <w:p>
      <w:pPr>
        <w:spacing w:line="360" w:lineRule="auto" w:before="0" w:after="0"/>
        <w:ind w:firstLine="420"/>
        <w:jc w:val="both"/>
      </w:pPr>
      <w:r>
        <w:rPr>
          <w:rFonts w:ascii="Times New Roman" w:hAnsi="Times New Roman" w:eastAsia="宋体"/>
          <w:b w:val="0"/>
          <w:sz w:val="24"/>
        </w:rPr>
        <w:t>储罐直径均不大于60 m，按GB 50341—2014第6.3.1条采用定设计点法，不采用仅适用于直径大于60 m储罐的变设计点法。罐壁每圈高度取2.0 m，3万m³罐设9圈，1万m³罐设8圈。罐壁材料选用Q345R；40 ℃设计许用应力由GB 50341—2014表4.2.2在20 ℃与100 ℃之间线性插值确定：板厚不大于16 mm时取222.5 MPa，板厚大于16 mm时取209.8 MPa；充水试验按20 ℃取230 MPa和217 MPa。底圈焊接接头系数φ=0.85，其余各圈φ=0.90。钢板负偏差暂取C₁=0.30 mm，腐蚀裕量取C₂=1.00 mm，设计厚度附加量C=1.30 mm；腐蚀裕量应在施工图阶段依据油品含水、罐底排水制度和防腐体系复核。</w:t>
      </w:r>
    </w:p>
    <w:p>
      <w:pPr>
        <w:spacing w:line="360" w:lineRule="auto" w:before="0" w:after="0"/>
        <w:ind w:firstLine="420"/>
        <w:jc w:val="both"/>
      </w:pPr>
      <w:r>
        <w:rPr>
          <w:rFonts w:ascii="Times New Roman" w:hAnsi="Times New Roman" w:eastAsia="宋体"/>
          <w:b w:val="0"/>
          <w:sz w:val="24"/>
        </w:rPr>
        <w:t>按GB 50341—2014第6.3.2～6.3.4条，设计工况和充水试验工况分别计算，名义厚度取两种工况较大值并向上圆整：</w:t>
      </w:r>
    </w:p>
    <w:p>
      <w:pPr>
        <w:spacing w:before="60" w:after="60"/>
        <w:jc w:val="center"/>
      </w:pPr>
      <w:r>
        <w:rPr>
          <w:rFonts w:ascii="Cambria Math" w:hAnsi="Cambria Math" w:eastAsia="Cambria Math"/>
          <w:b w:val="0"/>
          <w:sz w:val="23"/>
        </w:rPr>
        <w:t>t_d = 4.9D(H−0.3)ρ / ([σ]_dφ) + C</w:t>
      </w:r>
    </w:p>
    <w:p>
      <w:pPr>
        <w:spacing w:before="60" w:after="60"/>
        <w:jc w:val="center"/>
      </w:pPr>
      <w:r>
        <w:rPr>
          <w:rFonts w:ascii="Cambria Math" w:hAnsi="Cambria Math" w:eastAsia="Cambria Math"/>
          <w:b w:val="0"/>
          <w:sz w:val="23"/>
        </w:rPr>
        <w:t>t_t = 4.9D(H−0.3) / ([σ]_tφ) + C₁</w:t>
      </w:r>
    </w:p>
    <w:p>
      <w:pPr>
        <w:spacing w:line="360" w:lineRule="auto" w:before="0" w:after="0"/>
        <w:ind w:firstLine="420"/>
        <w:jc w:val="both"/>
      </w:pPr>
      <w:r>
        <w:rPr>
          <w:rFonts w:ascii="Times New Roman" w:hAnsi="Times New Roman" w:eastAsia="宋体"/>
          <w:b w:val="0"/>
          <w:sz w:val="24"/>
        </w:rPr>
        <w:t>式中：D为储罐内径，m；H为所计算壁板底端至设计液位或充水试验液位的高度，m；ρ为介质相对密度；[σ]d、[σ]t分别为设计温度和20 ℃时的许用应力，MPa。以3万m³汽油罐底圈为例，设计液位取17.1 m，充水试验液位取18.0 m，则：</w:t>
      </w:r>
    </w:p>
    <w:p>
      <w:pPr>
        <w:spacing w:before="60" w:after="60"/>
        <w:jc w:val="center"/>
      </w:pPr>
      <w:r>
        <w:rPr>
          <w:rFonts w:ascii="Cambria Math" w:hAnsi="Cambria Math" w:eastAsia="Cambria Math"/>
          <w:b w:val="0"/>
          <w:sz w:val="23"/>
        </w:rPr>
        <w:t>t_d = 4.9×46×(17.1−0.3)×0.75/(209.8×0.85)+1.30 = 17.23 mm</w:t>
      </w:r>
    </w:p>
    <w:p>
      <w:pPr>
        <w:spacing w:before="60" w:after="60"/>
        <w:jc w:val="center"/>
      </w:pPr>
      <w:r>
        <w:rPr>
          <w:rFonts w:ascii="Cambria Math" w:hAnsi="Cambria Math" w:eastAsia="Cambria Math"/>
          <w:b w:val="0"/>
          <w:sz w:val="23"/>
        </w:rPr>
        <w:t>t_t = 4.9×46×(18.0−0.3)/(217×0.85)+0.30 = 21.93 mm</w:t>
      </w:r>
    </w:p>
    <w:p>
      <w:pPr>
        <w:spacing w:line="360" w:lineRule="auto" w:before="0" w:after="0"/>
        <w:ind w:firstLine="420"/>
        <w:jc w:val="both"/>
      </w:pPr>
      <w:r>
        <w:rPr>
          <w:rFonts w:ascii="Times New Roman" w:hAnsi="Times New Roman" w:eastAsia="宋体"/>
          <w:b w:val="0"/>
          <w:sz w:val="24"/>
        </w:rPr>
        <w:t>底圈由充水试验工况控制，名义厚度取22 mm。按相同方法逐圈计算，3万m³汽油罐和柴油罐均由充水试验工况控制，采用同一壁厚序列；1万m³汽油罐底圈名义厚度取12 mm。计算结果如下。</w:t>
      </w:r>
    </w:p>
    <w:tbl>
      <w:tblPr>
        <w:tblStyle w:val="TableGrid"/>
        <w:tblW w:type="auto" w:w="0"/>
        <w:jc w:val="center"/>
        <w:tblLayout w:type="autofit"/>
        <w:tblLook w:firstColumn="1" w:firstRow="1" w:lastColumn="0" w:lastRow="0" w:noHBand="0" w:noVBand="1" w:val="04A0"/>
      </w:tblPr>
      <w:tblGrid>
        <w:gridCol w:w="969"/>
        <w:gridCol w:w="969"/>
        <w:gridCol w:w="969"/>
        <w:gridCol w:w="969"/>
        <w:gridCol w:w="969"/>
        <w:gridCol w:w="969"/>
        <w:gridCol w:w="969"/>
        <w:gridCol w:w="969"/>
        <w:gridCol w:w="969"/>
        <w:gridCol w:w="969"/>
      </w:tblGrid>
      <w:tr>
        <w:trPr>
          <w:tblHeader w:val="true"/>
          <w:cantSplit/>
        </w:trPr>
        <w:tc>
          <w:tcPr>
            <w:tcW w:type="dxa" w:w="1757"/>
            <w:vAlign w:val="center"/>
            <w:shd w:fill="D9EAF7"/>
          </w:tcPr>
          <w:p>
            <w:pPr>
              <w:spacing w:before="0" w:after="0" w:line="240" w:lineRule="auto"/>
              <w:jc w:val="center"/>
            </w:pPr>
            <w:r/>
            <w:r>
              <w:rPr>
                <w:rFonts w:ascii="Times New Roman" w:hAnsi="Times New Roman" w:eastAsia="宋体"/>
                <w:b/>
                <w:sz w:val="21"/>
              </w:rPr>
              <w:t>储罐规格</w:t>
            </w:r>
          </w:p>
        </w:tc>
        <w:tc>
          <w:tcPr>
            <w:tcW w:type="dxa" w:w="765"/>
            <w:vAlign w:val="center"/>
            <w:shd w:fill="D9EAF7"/>
          </w:tcPr>
          <w:p>
            <w:pPr>
              <w:spacing w:before="0" w:after="0" w:line="240" w:lineRule="auto"/>
              <w:jc w:val="center"/>
            </w:pPr>
            <w:r/>
            <w:r>
              <w:rPr>
                <w:rFonts w:ascii="Times New Roman" w:hAnsi="Times New Roman" w:eastAsia="宋体"/>
                <w:b/>
                <w:sz w:val="21"/>
              </w:rPr>
              <w:t>第1圈</w:t>
            </w:r>
          </w:p>
        </w:tc>
        <w:tc>
          <w:tcPr>
            <w:tcW w:type="dxa" w:w="765"/>
            <w:vAlign w:val="center"/>
            <w:shd w:fill="D9EAF7"/>
          </w:tcPr>
          <w:p>
            <w:pPr>
              <w:spacing w:before="0" w:after="0" w:line="240" w:lineRule="auto"/>
              <w:jc w:val="center"/>
            </w:pPr>
            <w:r/>
            <w:r>
              <w:rPr>
                <w:rFonts w:ascii="Times New Roman" w:hAnsi="Times New Roman" w:eastAsia="宋体"/>
                <w:b/>
                <w:sz w:val="21"/>
              </w:rPr>
              <w:t>第2圈</w:t>
            </w:r>
          </w:p>
        </w:tc>
        <w:tc>
          <w:tcPr>
            <w:tcW w:type="dxa" w:w="765"/>
            <w:vAlign w:val="center"/>
            <w:shd w:fill="D9EAF7"/>
          </w:tcPr>
          <w:p>
            <w:pPr>
              <w:spacing w:before="0" w:after="0" w:line="240" w:lineRule="auto"/>
              <w:jc w:val="center"/>
            </w:pPr>
            <w:r/>
            <w:r>
              <w:rPr>
                <w:rFonts w:ascii="Times New Roman" w:hAnsi="Times New Roman" w:eastAsia="宋体"/>
                <w:b/>
                <w:sz w:val="21"/>
              </w:rPr>
              <w:t>第3圈</w:t>
            </w:r>
          </w:p>
        </w:tc>
        <w:tc>
          <w:tcPr>
            <w:tcW w:type="dxa" w:w="765"/>
            <w:vAlign w:val="center"/>
            <w:shd w:fill="D9EAF7"/>
          </w:tcPr>
          <w:p>
            <w:pPr>
              <w:spacing w:before="0" w:after="0" w:line="240" w:lineRule="auto"/>
              <w:jc w:val="center"/>
            </w:pPr>
            <w:r/>
            <w:r>
              <w:rPr>
                <w:rFonts w:ascii="Times New Roman" w:hAnsi="Times New Roman" w:eastAsia="宋体"/>
                <w:b/>
                <w:sz w:val="21"/>
              </w:rPr>
              <w:t>第4圈</w:t>
            </w:r>
          </w:p>
        </w:tc>
        <w:tc>
          <w:tcPr>
            <w:tcW w:type="dxa" w:w="765"/>
            <w:vAlign w:val="center"/>
            <w:shd w:fill="D9EAF7"/>
          </w:tcPr>
          <w:p>
            <w:pPr>
              <w:spacing w:before="0" w:after="0" w:line="240" w:lineRule="auto"/>
              <w:jc w:val="center"/>
            </w:pPr>
            <w:r/>
            <w:r>
              <w:rPr>
                <w:rFonts w:ascii="Times New Roman" w:hAnsi="Times New Roman" w:eastAsia="宋体"/>
                <w:b/>
                <w:sz w:val="21"/>
              </w:rPr>
              <w:t>第5圈</w:t>
            </w:r>
          </w:p>
        </w:tc>
        <w:tc>
          <w:tcPr>
            <w:tcW w:type="dxa" w:w="765"/>
            <w:vAlign w:val="center"/>
            <w:shd w:fill="D9EAF7"/>
          </w:tcPr>
          <w:p>
            <w:pPr>
              <w:spacing w:before="0" w:after="0" w:line="240" w:lineRule="auto"/>
              <w:jc w:val="center"/>
            </w:pPr>
            <w:r/>
            <w:r>
              <w:rPr>
                <w:rFonts w:ascii="Times New Roman" w:hAnsi="Times New Roman" w:eastAsia="宋体"/>
                <w:b/>
                <w:sz w:val="21"/>
              </w:rPr>
              <w:t>第6圈</w:t>
            </w:r>
          </w:p>
        </w:tc>
        <w:tc>
          <w:tcPr>
            <w:tcW w:type="dxa" w:w="765"/>
            <w:vAlign w:val="center"/>
            <w:shd w:fill="D9EAF7"/>
          </w:tcPr>
          <w:p>
            <w:pPr>
              <w:spacing w:before="0" w:after="0" w:line="240" w:lineRule="auto"/>
              <w:jc w:val="center"/>
            </w:pPr>
            <w:r/>
            <w:r>
              <w:rPr>
                <w:rFonts w:ascii="Times New Roman" w:hAnsi="Times New Roman" w:eastAsia="宋体"/>
                <w:b/>
                <w:sz w:val="21"/>
              </w:rPr>
              <w:t>第7圈</w:t>
            </w:r>
          </w:p>
        </w:tc>
        <w:tc>
          <w:tcPr>
            <w:tcW w:type="dxa" w:w="765"/>
            <w:vAlign w:val="center"/>
            <w:shd w:fill="D9EAF7"/>
          </w:tcPr>
          <w:p>
            <w:pPr>
              <w:spacing w:before="0" w:after="0" w:line="240" w:lineRule="auto"/>
              <w:jc w:val="center"/>
            </w:pPr>
            <w:r/>
            <w:r>
              <w:rPr>
                <w:rFonts w:ascii="Times New Roman" w:hAnsi="Times New Roman" w:eastAsia="宋体"/>
                <w:b/>
                <w:sz w:val="21"/>
              </w:rPr>
              <w:t>第8圈</w:t>
            </w:r>
          </w:p>
        </w:tc>
        <w:tc>
          <w:tcPr>
            <w:tcW w:type="dxa" w:w="765"/>
            <w:vAlign w:val="center"/>
            <w:shd w:fill="D9EAF7"/>
          </w:tcPr>
          <w:p>
            <w:pPr>
              <w:spacing w:before="0" w:after="0" w:line="240" w:lineRule="auto"/>
              <w:jc w:val="center"/>
            </w:pPr>
            <w:r/>
            <w:r>
              <w:rPr>
                <w:rFonts w:ascii="Times New Roman" w:hAnsi="Times New Roman" w:eastAsia="宋体"/>
                <w:b/>
                <w:sz w:val="21"/>
              </w:rPr>
              <w:t>第9圈</w:t>
            </w:r>
          </w:p>
        </w:tc>
      </w:tr>
      <w:tr>
        <w:trPr>
          <w:cantSplit/>
        </w:trPr>
        <w:tc>
          <w:tcPr>
            <w:tcW w:type="dxa" w:w="1757"/>
            <w:vAlign w:val="center"/>
          </w:tcPr>
          <w:p>
            <w:pPr>
              <w:spacing w:before="0" w:after="0" w:line="240" w:lineRule="auto"/>
              <w:jc w:val="center"/>
            </w:pPr>
            <w:r/>
            <w:r>
              <w:rPr>
                <w:rFonts w:ascii="Times New Roman" w:hAnsi="Times New Roman" w:eastAsia="宋体"/>
                <w:b w:val="0"/>
                <w:sz w:val="21"/>
              </w:rPr>
              <w:t>3万m³计算控制值/mm</w:t>
            </w:r>
          </w:p>
        </w:tc>
        <w:tc>
          <w:tcPr>
            <w:tcW w:type="dxa" w:w="765"/>
            <w:vAlign w:val="center"/>
          </w:tcPr>
          <w:p>
            <w:pPr>
              <w:spacing w:before="0" w:after="0" w:line="240" w:lineRule="auto"/>
              <w:jc w:val="center"/>
            </w:pPr>
            <w:r/>
            <w:r>
              <w:rPr>
                <w:rFonts w:ascii="Times New Roman" w:hAnsi="Times New Roman" w:eastAsia="宋体"/>
                <w:b w:val="0"/>
                <w:sz w:val="21"/>
              </w:rPr>
              <w:t>21.93</w:t>
            </w:r>
          </w:p>
        </w:tc>
        <w:tc>
          <w:tcPr>
            <w:tcW w:type="dxa" w:w="765"/>
            <w:vAlign w:val="center"/>
          </w:tcPr>
          <w:p>
            <w:pPr>
              <w:spacing w:before="0" w:after="0" w:line="240" w:lineRule="auto"/>
              <w:jc w:val="center"/>
            </w:pPr>
            <w:r/>
            <w:r>
              <w:rPr>
                <w:rFonts w:ascii="Times New Roman" w:hAnsi="Times New Roman" w:eastAsia="宋体"/>
                <w:b w:val="0"/>
                <w:sz w:val="21"/>
              </w:rPr>
              <w:t>18.42</w:t>
            </w:r>
          </w:p>
        </w:tc>
        <w:tc>
          <w:tcPr>
            <w:tcW w:type="dxa" w:w="765"/>
            <w:vAlign w:val="center"/>
          </w:tcPr>
          <w:p>
            <w:pPr>
              <w:spacing w:before="0" w:after="0" w:line="240" w:lineRule="auto"/>
              <w:jc w:val="center"/>
            </w:pPr>
            <w:r/>
            <w:r>
              <w:rPr>
                <w:rFonts w:ascii="Times New Roman" w:hAnsi="Times New Roman" w:eastAsia="宋体"/>
                <w:b w:val="0"/>
                <w:sz w:val="21"/>
              </w:rPr>
              <w:t>15.22</w:t>
            </w:r>
          </w:p>
        </w:tc>
        <w:tc>
          <w:tcPr>
            <w:tcW w:type="dxa" w:w="765"/>
            <w:vAlign w:val="center"/>
          </w:tcPr>
          <w:p>
            <w:pPr>
              <w:spacing w:before="0" w:after="0" w:line="240" w:lineRule="auto"/>
              <w:jc w:val="center"/>
            </w:pPr>
            <w:r/>
            <w:r>
              <w:rPr>
                <w:rFonts w:ascii="Times New Roman" w:hAnsi="Times New Roman" w:eastAsia="宋体"/>
                <w:b w:val="0"/>
                <w:sz w:val="21"/>
              </w:rPr>
              <w:t>13.04</w:t>
            </w:r>
          </w:p>
        </w:tc>
        <w:tc>
          <w:tcPr>
            <w:tcW w:type="dxa" w:w="765"/>
            <w:vAlign w:val="center"/>
          </w:tcPr>
          <w:p>
            <w:pPr>
              <w:spacing w:before="0" w:after="0" w:line="240" w:lineRule="auto"/>
              <w:jc w:val="center"/>
            </w:pPr>
            <w:r/>
            <w:r>
              <w:rPr>
                <w:rFonts w:ascii="Times New Roman" w:hAnsi="Times New Roman" w:eastAsia="宋体"/>
                <w:b w:val="0"/>
                <w:sz w:val="21"/>
              </w:rPr>
              <w:t>10.86</w:t>
            </w:r>
          </w:p>
        </w:tc>
        <w:tc>
          <w:tcPr>
            <w:tcW w:type="dxa" w:w="765"/>
            <w:vAlign w:val="center"/>
          </w:tcPr>
          <w:p>
            <w:pPr>
              <w:spacing w:before="0" w:after="0" w:line="240" w:lineRule="auto"/>
              <w:jc w:val="center"/>
            </w:pPr>
            <w:r/>
            <w:r>
              <w:rPr>
                <w:rFonts w:ascii="Times New Roman" w:hAnsi="Times New Roman" w:eastAsia="宋体"/>
                <w:b w:val="0"/>
                <w:sz w:val="21"/>
              </w:rPr>
              <w:t>8.68</w:t>
            </w:r>
          </w:p>
        </w:tc>
        <w:tc>
          <w:tcPr>
            <w:tcW w:type="dxa" w:w="765"/>
            <w:vAlign w:val="center"/>
          </w:tcPr>
          <w:p>
            <w:pPr>
              <w:spacing w:before="0" w:after="0" w:line="240" w:lineRule="auto"/>
              <w:jc w:val="center"/>
            </w:pPr>
            <w:r/>
            <w:r>
              <w:rPr>
                <w:rFonts w:ascii="Times New Roman" w:hAnsi="Times New Roman" w:eastAsia="宋体"/>
                <w:b w:val="0"/>
                <w:sz w:val="21"/>
              </w:rPr>
              <w:t>6.51</w:t>
            </w:r>
          </w:p>
        </w:tc>
        <w:tc>
          <w:tcPr>
            <w:tcW w:type="dxa" w:w="765"/>
            <w:vAlign w:val="center"/>
          </w:tcPr>
          <w:p>
            <w:pPr>
              <w:spacing w:before="0" w:after="0" w:line="240" w:lineRule="auto"/>
              <w:jc w:val="center"/>
            </w:pPr>
            <w:r/>
            <w:r>
              <w:rPr>
                <w:rFonts w:ascii="Times New Roman" w:hAnsi="Times New Roman" w:eastAsia="宋体"/>
                <w:b w:val="0"/>
                <w:sz w:val="21"/>
              </w:rPr>
              <w:t>4.33</w:t>
            </w:r>
          </w:p>
        </w:tc>
        <w:tc>
          <w:tcPr>
            <w:tcW w:type="dxa" w:w="765"/>
            <w:vAlign w:val="center"/>
          </w:tcPr>
          <w:p>
            <w:pPr>
              <w:spacing w:before="0" w:after="0" w:line="240" w:lineRule="auto"/>
              <w:jc w:val="center"/>
            </w:pPr>
            <w:r/>
            <w:r>
              <w:rPr>
                <w:rFonts w:ascii="Times New Roman" w:hAnsi="Times New Roman" w:eastAsia="宋体"/>
                <w:b w:val="0"/>
                <w:sz w:val="21"/>
              </w:rPr>
              <w:t>2.15</w:t>
            </w:r>
          </w:p>
        </w:tc>
      </w:tr>
      <w:tr>
        <w:trPr>
          <w:cantSplit/>
        </w:trPr>
        <w:tc>
          <w:tcPr>
            <w:tcW w:type="dxa" w:w="1757"/>
            <w:vAlign w:val="center"/>
          </w:tcPr>
          <w:p>
            <w:pPr>
              <w:spacing w:before="0" w:after="0" w:line="240" w:lineRule="auto"/>
              <w:jc w:val="center"/>
            </w:pPr>
            <w:r/>
            <w:r>
              <w:rPr>
                <w:rFonts w:ascii="Times New Roman" w:hAnsi="Times New Roman" w:eastAsia="宋体"/>
                <w:b w:val="0"/>
                <w:sz w:val="21"/>
              </w:rPr>
              <w:t>3万m³名义厚度/mm</w:t>
            </w:r>
          </w:p>
        </w:tc>
        <w:tc>
          <w:tcPr>
            <w:tcW w:type="dxa" w:w="765"/>
            <w:vAlign w:val="center"/>
          </w:tcPr>
          <w:p>
            <w:pPr>
              <w:spacing w:before="0" w:after="0" w:line="240" w:lineRule="auto"/>
              <w:jc w:val="center"/>
            </w:pPr>
            <w:r/>
            <w:r>
              <w:rPr>
                <w:rFonts w:ascii="Times New Roman" w:hAnsi="Times New Roman" w:eastAsia="宋体"/>
                <w:b w:val="0"/>
                <w:sz w:val="21"/>
              </w:rPr>
              <w:t>22</w:t>
            </w:r>
          </w:p>
        </w:tc>
        <w:tc>
          <w:tcPr>
            <w:tcW w:type="dxa" w:w="765"/>
            <w:vAlign w:val="center"/>
          </w:tcPr>
          <w:p>
            <w:pPr>
              <w:spacing w:before="0" w:after="0" w:line="240" w:lineRule="auto"/>
              <w:jc w:val="center"/>
            </w:pPr>
            <w:r/>
            <w:r>
              <w:rPr>
                <w:rFonts w:ascii="Times New Roman" w:hAnsi="Times New Roman" w:eastAsia="宋体"/>
                <w:b w:val="0"/>
                <w:sz w:val="21"/>
              </w:rPr>
              <w:t>20</w:t>
            </w:r>
          </w:p>
        </w:tc>
        <w:tc>
          <w:tcPr>
            <w:tcW w:type="dxa" w:w="765"/>
            <w:vAlign w:val="center"/>
          </w:tcPr>
          <w:p>
            <w:pPr>
              <w:spacing w:before="0" w:after="0" w:line="240" w:lineRule="auto"/>
              <w:jc w:val="center"/>
            </w:pPr>
            <w:r/>
            <w:r>
              <w:rPr>
                <w:rFonts w:ascii="Times New Roman" w:hAnsi="Times New Roman" w:eastAsia="宋体"/>
                <w:b w:val="0"/>
                <w:sz w:val="21"/>
              </w:rPr>
              <w:t>16</w:t>
            </w:r>
          </w:p>
        </w:tc>
        <w:tc>
          <w:tcPr>
            <w:tcW w:type="dxa" w:w="765"/>
            <w:vAlign w:val="center"/>
          </w:tcPr>
          <w:p>
            <w:pPr>
              <w:spacing w:before="0" w:after="0" w:line="240" w:lineRule="auto"/>
              <w:jc w:val="center"/>
            </w:pPr>
            <w:r/>
            <w:r>
              <w:rPr>
                <w:rFonts w:ascii="Times New Roman" w:hAnsi="Times New Roman" w:eastAsia="宋体"/>
                <w:b w:val="0"/>
                <w:sz w:val="21"/>
              </w:rPr>
              <w:t>14</w:t>
            </w:r>
          </w:p>
        </w:tc>
        <w:tc>
          <w:tcPr>
            <w:tcW w:type="dxa" w:w="765"/>
            <w:vAlign w:val="center"/>
          </w:tcPr>
          <w:p>
            <w:pPr>
              <w:spacing w:before="0" w:after="0" w:line="240" w:lineRule="auto"/>
              <w:jc w:val="center"/>
            </w:pPr>
            <w:r/>
            <w:r>
              <w:rPr>
                <w:rFonts w:ascii="Times New Roman" w:hAnsi="Times New Roman" w:eastAsia="宋体"/>
                <w:b w:val="0"/>
                <w:sz w:val="21"/>
              </w:rPr>
              <w:t>12</w:t>
            </w:r>
          </w:p>
        </w:tc>
        <w:tc>
          <w:tcPr>
            <w:tcW w:type="dxa" w:w="765"/>
            <w:vAlign w:val="center"/>
          </w:tcPr>
          <w:p>
            <w:pPr>
              <w:spacing w:before="0" w:after="0" w:line="240" w:lineRule="auto"/>
              <w:jc w:val="center"/>
            </w:pPr>
            <w:r/>
            <w:r>
              <w:rPr>
                <w:rFonts w:ascii="Times New Roman" w:hAnsi="Times New Roman" w:eastAsia="宋体"/>
                <w:b w:val="0"/>
                <w:sz w:val="21"/>
              </w:rPr>
              <w:t>10</w:t>
            </w:r>
          </w:p>
        </w:tc>
        <w:tc>
          <w:tcPr>
            <w:tcW w:type="dxa" w:w="765"/>
            <w:vAlign w:val="center"/>
          </w:tcPr>
          <w:p>
            <w:pPr>
              <w:spacing w:before="0" w:after="0" w:line="240" w:lineRule="auto"/>
              <w:jc w:val="center"/>
            </w:pPr>
            <w:r/>
            <w:r>
              <w:rPr>
                <w:rFonts w:ascii="Times New Roman" w:hAnsi="Times New Roman" w:eastAsia="宋体"/>
                <w:b w:val="0"/>
                <w:sz w:val="21"/>
              </w:rPr>
              <w:t>8</w:t>
            </w:r>
          </w:p>
        </w:tc>
        <w:tc>
          <w:tcPr>
            <w:tcW w:type="dxa" w:w="765"/>
            <w:vAlign w:val="center"/>
          </w:tcPr>
          <w:p>
            <w:pPr>
              <w:spacing w:before="0" w:after="0" w:line="240" w:lineRule="auto"/>
              <w:jc w:val="center"/>
            </w:pPr>
            <w:r/>
            <w:r>
              <w:rPr>
                <w:rFonts w:ascii="Times New Roman" w:hAnsi="Times New Roman" w:eastAsia="宋体"/>
                <w:b w:val="0"/>
                <w:sz w:val="21"/>
              </w:rPr>
              <w:t>8</w:t>
            </w:r>
          </w:p>
        </w:tc>
        <w:tc>
          <w:tcPr>
            <w:tcW w:type="dxa" w:w="765"/>
            <w:vAlign w:val="center"/>
          </w:tcPr>
          <w:p>
            <w:pPr>
              <w:spacing w:before="0" w:after="0" w:line="240" w:lineRule="auto"/>
              <w:jc w:val="center"/>
            </w:pPr>
            <w:r/>
            <w:r>
              <w:rPr>
                <w:rFonts w:ascii="Times New Roman" w:hAnsi="Times New Roman" w:eastAsia="宋体"/>
                <w:b w:val="0"/>
                <w:sz w:val="21"/>
              </w:rPr>
              <w:t>8</w:t>
            </w:r>
          </w:p>
        </w:tc>
      </w:tr>
      <w:tr>
        <w:trPr>
          <w:cantSplit/>
        </w:trPr>
        <w:tc>
          <w:tcPr>
            <w:tcW w:type="dxa" w:w="1757"/>
            <w:vAlign w:val="center"/>
          </w:tcPr>
          <w:p>
            <w:pPr>
              <w:spacing w:before="0" w:after="0" w:line="240" w:lineRule="auto"/>
              <w:jc w:val="center"/>
            </w:pPr>
            <w:r/>
            <w:r>
              <w:rPr>
                <w:rFonts w:ascii="Times New Roman" w:hAnsi="Times New Roman" w:eastAsia="宋体"/>
                <w:b w:val="0"/>
                <w:sz w:val="21"/>
              </w:rPr>
              <w:t>1万m³计算控制值/mm</w:t>
            </w:r>
          </w:p>
        </w:tc>
        <w:tc>
          <w:tcPr>
            <w:tcW w:type="dxa" w:w="765"/>
            <w:vAlign w:val="center"/>
          </w:tcPr>
          <w:p>
            <w:pPr>
              <w:spacing w:before="0" w:after="0" w:line="240" w:lineRule="auto"/>
              <w:jc w:val="center"/>
            </w:pPr>
            <w:r/>
            <w:r>
              <w:rPr>
                <w:rFonts w:ascii="Times New Roman" w:hAnsi="Times New Roman" w:eastAsia="宋体"/>
                <w:b w:val="0"/>
                <w:sz w:val="21"/>
              </w:rPr>
              <w:t>11.51</w:t>
            </w:r>
          </w:p>
        </w:tc>
        <w:tc>
          <w:tcPr>
            <w:tcW w:type="dxa" w:w="765"/>
            <w:vAlign w:val="center"/>
          </w:tcPr>
          <w:p>
            <w:pPr>
              <w:spacing w:before="0" w:after="0" w:line="240" w:lineRule="auto"/>
              <w:jc w:val="center"/>
            </w:pPr>
            <w:r/>
            <w:r>
              <w:rPr>
                <w:rFonts w:ascii="Times New Roman" w:hAnsi="Times New Roman" w:eastAsia="宋体"/>
                <w:b w:val="0"/>
                <w:sz w:val="21"/>
              </w:rPr>
              <w:t>9.54</w:t>
            </w:r>
          </w:p>
        </w:tc>
        <w:tc>
          <w:tcPr>
            <w:tcW w:type="dxa" w:w="765"/>
            <w:vAlign w:val="center"/>
          </w:tcPr>
          <w:p>
            <w:pPr>
              <w:spacing w:before="0" w:after="0" w:line="240" w:lineRule="auto"/>
              <w:jc w:val="center"/>
            </w:pPr>
            <w:r/>
            <w:r>
              <w:rPr>
                <w:rFonts w:ascii="Times New Roman" w:hAnsi="Times New Roman" w:eastAsia="宋体"/>
                <w:b w:val="0"/>
                <w:sz w:val="21"/>
              </w:rPr>
              <w:t>8.19</w:t>
            </w:r>
          </w:p>
        </w:tc>
        <w:tc>
          <w:tcPr>
            <w:tcW w:type="dxa" w:w="765"/>
            <w:vAlign w:val="center"/>
          </w:tcPr>
          <w:p>
            <w:pPr>
              <w:spacing w:before="0" w:after="0" w:line="240" w:lineRule="auto"/>
              <w:jc w:val="center"/>
            </w:pPr>
            <w:r/>
            <w:r>
              <w:rPr>
                <w:rFonts w:ascii="Times New Roman" w:hAnsi="Times New Roman" w:eastAsia="宋体"/>
                <w:b w:val="0"/>
                <w:sz w:val="21"/>
              </w:rPr>
              <w:t>6.84</w:t>
            </w:r>
          </w:p>
        </w:tc>
        <w:tc>
          <w:tcPr>
            <w:tcW w:type="dxa" w:w="765"/>
            <w:vAlign w:val="center"/>
          </w:tcPr>
          <w:p>
            <w:pPr>
              <w:spacing w:before="0" w:after="0" w:line="240" w:lineRule="auto"/>
              <w:jc w:val="center"/>
            </w:pPr>
            <w:r/>
            <w:r>
              <w:rPr>
                <w:rFonts w:ascii="Times New Roman" w:hAnsi="Times New Roman" w:eastAsia="宋体"/>
                <w:b w:val="0"/>
                <w:sz w:val="21"/>
              </w:rPr>
              <w:t>5.49</w:t>
            </w:r>
          </w:p>
        </w:tc>
        <w:tc>
          <w:tcPr>
            <w:tcW w:type="dxa" w:w="765"/>
            <w:vAlign w:val="center"/>
          </w:tcPr>
          <w:p>
            <w:pPr>
              <w:spacing w:before="0" w:after="0" w:line="240" w:lineRule="auto"/>
              <w:jc w:val="center"/>
            </w:pPr>
            <w:r/>
            <w:r>
              <w:rPr>
                <w:rFonts w:ascii="Times New Roman" w:hAnsi="Times New Roman" w:eastAsia="宋体"/>
                <w:b w:val="0"/>
                <w:sz w:val="21"/>
              </w:rPr>
              <w:t>4.15</w:t>
            </w:r>
          </w:p>
        </w:tc>
        <w:tc>
          <w:tcPr>
            <w:tcW w:type="dxa" w:w="765"/>
            <w:vAlign w:val="center"/>
          </w:tcPr>
          <w:p>
            <w:pPr>
              <w:spacing w:before="0" w:after="0" w:line="240" w:lineRule="auto"/>
              <w:jc w:val="center"/>
            </w:pPr>
            <w:r/>
            <w:r>
              <w:rPr>
                <w:rFonts w:ascii="Times New Roman" w:hAnsi="Times New Roman" w:eastAsia="宋体"/>
                <w:b w:val="0"/>
                <w:sz w:val="21"/>
              </w:rPr>
              <w:t>2.82</w:t>
            </w:r>
          </w:p>
        </w:tc>
        <w:tc>
          <w:tcPr>
            <w:tcW w:type="dxa" w:w="765"/>
            <w:vAlign w:val="center"/>
          </w:tcPr>
          <w:p>
            <w:pPr>
              <w:spacing w:before="0" w:after="0" w:line="240" w:lineRule="auto"/>
              <w:jc w:val="center"/>
            </w:pPr>
            <w:r/>
            <w:r>
              <w:rPr>
                <w:rFonts w:ascii="Times New Roman" w:hAnsi="Times New Roman" w:eastAsia="宋体"/>
                <w:b w:val="0"/>
                <w:sz w:val="21"/>
              </w:rPr>
              <w:t>1.77</w:t>
            </w:r>
          </w:p>
        </w:tc>
        <w:tc>
          <w:tcPr>
            <w:tcW w:type="dxa" w:w="765"/>
            <w:vAlign w:val="center"/>
          </w:tcPr>
          <w:p>
            <w:pPr>
              <w:spacing w:before="0" w:after="0" w:line="240" w:lineRule="auto"/>
              <w:jc w:val="center"/>
            </w:pPr>
            <w:r/>
            <w:r>
              <w:rPr>
                <w:rFonts w:ascii="Times New Roman" w:hAnsi="Times New Roman" w:eastAsia="宋体"/>
                <w:b w:val="0"/>
                <w:sz w:val="21"/>
              </w:rPr>
              <w:t>—</w:t>
            </w:r>
          </w:p>
        </w:tc>
      </w:tr>
      <w:tr>
        <w:trPr>
          <w:cantSplit/>
        </w:trPr>
        <w:tc>
          <w:tcPr>
            <w:tcW w:type="dxa" w:w="1757"/>
            <w:vAlign w:val="center"/>
          </w:tcPr>
          <w:p>
            <w:pPr>
              <w:spacing w:before="0" w:after="0" w:line="240" w:lineRule="auto"/>
              <w:jc w:val="center"/>
            </w:pPr>
            <w:r/>
            <w:r>
              <w:rPr>
                <w:rFonts w:ascii="Times New Roman" w:hAnsi="Times New Roman" w:eastAsia="宋体"/>
                <w:b w:val="0"/>
                <w:sz w:val="21"/>
              </w:rPr>
              <w:t>1万m³名义厚度/mm</w:t>
            </w:r>
          </w:p>
        </w:tc>
        <w:tc>
          <w:tcPr>
            <w:tcW w:type="dxa" w:w="765"/>
            <w:vAlign w:val="center"/>
          </w:tcPr>
          <w:p>
            <w:pPr>
              <w:spacing w:before="0" w:after="0" w:line="240" w:lineRule="auto"/>
              <w:jc w:val="center"/>
            </w:pPr>
            <w:r/>
            <w:r>
              <w:rPr>
                <w:rFonts w:ascii="Times New Roman" w:hAnsi="Times New Roman" w:eastAsia="宋体"/>
                <w:b w:val="0"/>
                <w:sz w:val="21"/>
              </w:rPr>
              <w:t>12</w:t>
            </w:r>
          </w:p>
        </w:tc>
        <w:tc>
          <w:tcPr>
            <w:tcW w:type="dxa" w:w="765"/>
            <w:vAlign w:val="center"/>
          </w:tcPr>
          <w:p>
            <w:pPr>
              <w:spacing w:before="0" w:after="0" w:line="240" w:lineRule="auto"/>
              <w:jc w:val="center"/>
            </w:pPr>
            <w:r/>
            <w:r>
              <w:rPr>
                <w:rFonts w:ascii="Times New Roman" w:hAnsi="Times New Roman" w:eastAsia="宋体"/>
                <w:b w:val="0"/>
                <w:sz w:val="21"/>
              </w:rPr>
              <w:t>10</w:t>
            </w:r>
          </w:p>
        </w:tc>
        <w:tc>
          <w:tcPr>
            <w:tcW w:type="dxa" w:w="765"/>
            <w:vAlign w:val="center"/>
          </w:tcPr>
          <w:p>
            <w:pPr>
              <w:spacing w:before="0" w:after="0" w:line="240" w:lineRule="auto"/>
              <w:jc w:val="center"/>
            </w:pPr>
            <w:r/>
            <w:r>
              <w:rPr>
                <w:rFonts w:ascii="Times New Roman" w:hAnsi="Times New Roman" w:eastAsia="宋体"/>
                <w:b w:val="0"/>
                <w:sz w:val="21"/>
              </w:rPr>
              <w:t>10</w:t>
            </w:r>
          </w:p>
        </w:tc>
        <w:tc>
          <w:tcPr>
            <w:tcW w:type="dxa" w:w="765"/>
            <w:vAlign w:val="center"/>
          </w:tcPr>
          <w:p>
            <w:pPr>
              <w:spacing w:before="0" w:after="0" w:line="240" w:lineRule="auto"/>
              <w:jc w:val="center"/>
            </w:pPr>
            <w:r/>
            <w:r>
              <w:rPr>
                <w:rFonts w:ascii="Times New Roman" w:hAnsi="Times New Roman" w:eastAsia="宋体"/>
                <w:b w:val="0"/>
                <w:sz w:val="21"/>
              </w:rPr>
              <w:t>8</w:t>
            </w:r>
          </w:p>
        </w:tc>
        <w:tc>
          <w:tcPr>
            <w:tcW w:type="dxa" w:w="765"/>
            <w:vAlign w:val="center"/>
          </w:tcPr>
          <w:p>
            <w:pPr>
              <w:spacing w:before="0" w:after="0" w:line="240" w:lineRule="auto"/>
              <w:jc w:val="center"/>
            </w:pPr>
            <w:r/>
            <w:r>
              <w:rPr>
                <w:rFonts w:ascii="Times New Roman" w:hAnsi="Times New Roman" w:eastAsia="宋体"/>
                <w:b w:val="0"/>
                <w:sz w:val="21"/>
              </w:rPr>
              <w:t>6</w:t>
            </w:r>
          </w:p>
        </w:tc>
        <w:tc>
          <w:tcPr>
            <w:tcW w:type="dxa" w:w="765"/>
            <w:vAlign w:val="center"/>
          </w:tcPr>
          <w:p>
            <w:pPr>
              <w:spacing w:before="0" w:after="0" w:line="240" w:lineRule="auto"/>
              <w:jc w:val="center"/>
            </w:pPr>
            <w:r/>
            <w:r>
              <w:rPr>
                <w:rFonts w:ascii="Times New Roman" w:hAnsi="Times New Roman" w:eastAsia="宋体"/>
                <w:b w:val="0"/>
                <w:sz w:val="21"/>
              </w:rPr>
              <w:t>6</w:t>
            </w:r>
          </w:p>
        </w:tc>
        <w:tc>
          <w:tcPr>
            <w:tcW w:type="dxa" w:w="765"/>
            <w:vAlign w:val="center"/>
          </w:tcPr>
          <w:p>
            <w:pPr>
              <w:spacing w:before="0" w:after="0" w:line="240" w:lineRule="auto"/>
              <w:jc w:val="center"/>
            </w:pPr>
            <w:r/>
            <w:r>
              <w:rPr>
                <w:rFonts w:ascii="Times New Roman" w:hAnsi="Times New Roman" w:eastAsia="宋体"/>
                <w:b w:val="0"/>
                <w:sz w:val="21"/>
              </w:rPr>
              <w:t>6</w:t>
            </w:r>
          </w:p>
        </w:tc>
        <w:tc>
          <w:tcPr>
            <w:tcW w:type="dxa" w:w="765"/>
            <w:vAlign w:val="center"/>
          </w:tcPr>
          <w:p>
            <w:pPr>
              <w:spacing w:before="0" w:after="0" w:line="240" w:lineRule="auto"/>
              <w:jc w:val="center"/>
            </w:pPr>
            <w:r/>
            <w:r>
              <w:rPr>
                <w:rFonts w:ascii="Times New Roman" w:hAnsi="Times New Roman" w:eastAsia="宋体"/>
                <w:b w:val="0"/>
                <w:sz w:val="21"/>
              </w:rPr>
              <w:t>6</w:t>
            </w:r>
          </w:p>
        </w:tc>
        <w:tc>
          <w:tcPr>
            <w:tcW w:type="dxa" w:w="765"/>
            <w:vAlign w:val="center"/>
          </w:tcPr>
          <w:p>
            <w:pPr>
              <w:spacing w:before="0" w:after="0" w:line="240" w:lineRule="auto"/>
              <w:jc w:val="center"/>
            </w:pPr>
            <w:r/>
            <w:r>
              <w:rPr>
                <w:rFonts w:ascii="Times New Roman" w:hAnsi="Times New Roman" w:eastAsia="宋体"/>
                <w:b w:val="0"/>
                <w:sz w:val="21"/>
              </w:rPr>
              <w:t>—</w:t>
            </w:r>
          </w:p>
        </w:tc>
      </w:tr>
    </w:tbl>
    <w:p>
      <w:pPr>
        <w:spacing w:after="0"/>
      </w:pPr>
    </w:p>
    <w:p>
      <w:pPr>
        <w:spacing w:line="360" w:lineRule="auto" w:before="0" w:after="0"/>
        <w:ind w:firstLine="420"/>
        <w:jc w:val="both"/>
      </w:pPr>
      <w:r>
        <w:rPr>
          <w:rFonts w:ascii="Times New Roman" w:hAnsi="Times New Roman" w:eastAsia="宋体"/>
          <w:b w:val="0"/>
          <w:sz w:val="24"/>
        </w:rPr>
        <w:t>3万m³罐直径46.0 m，GB 50341—2014表6.3.4规定的最小名义厚度为8 mm；1万m³罐直径28.5 m，最小名义厚度为6 mm。上述选取均不低于规范下限，且上圈壁板厚度不大于下圈壁板厚度。</w:t>
      </w:r>
    </w:p>
    <w:p>
      <w:pPr>
        <w:pStyle w:val="Heading3"/>
        <w:keepNext/>
        <w:spacing w:before="60" w:after="60"/>
      </w:pPr>
      <w:r>
        <w:rPr>
          <w:rFonts w:ascii="Times New Roman" w:hAnsi="Times New Roman" w:eastAsia="黑体"/>
          <w:b/>
          <w:sz w:val="28"/>
        </w:rPr>
        <w:t>5.1.4 罐底与罐顶结构</w:t>
      </w:r>
    </w:p>
    <w:p>
      <w:pPr>
        <w:spacing w:line="360" w:lineRule="auto" w:before="0" w:after="0"/>
        <w:ind w:firstLine="420"/>
        <w:jc w:val="both"/>
      </w:pPr>
      <w:r>
        <w:rPr>
          <w:rFonts w:ascii="Times New Roman" w:hAnsi="Times New Roman" w:eastAsia="宋体"/>
          <w:b w:val="0"/>
          <w:sz w:val="24"/>
        </w:rPr>
        <w:t>两种规格储罐直径均大于12.5 m，罐底按GB 50341—2014第5.2.1条采用中幅板与环形边缘板组合结构。按表5.1.1，直径大于10 m时罐底板扣除腐蚀裕量后的厚度不小于6 mm，本设计中幅板名义厚度取8 mm。3万m³罐底圈壁板厚度为22 mm，按表5.1.2且材料屈服强度不大于390 MPa，环形边缘板扣除腐蚀裕量后的厚度不小于11 mm，名义厚度取12 mm；1万m³罐底圈壁板厚度为12 mm，环形边缘板名义厚度取10 mm。边缘板材质与底圈壁板一致。罐底向中心集水坑形成设计坡度，罐底板下设置防渗和泄漏检测层。</w:t>
      </w:r>
    </w:p>
    <w:p>
      <w:pPr>
        <w:spacing w:line="360" w:lineRule="auto" w:before="0" w:after="0"/>
        <w:ind w:firstLine="420"/>
        <w:jc w:val="both"/>
      </w:pPr>
      <w:r>
        <w:rPr>
          <w:rFonts w:ascii="Times New Roman" w:hAnsi="Times New Roman" w:eastAsia="宋体"/>
          <w:b w:val="0"/>
          <w:sz w:val="24"/>
        </w:rPr>
        <w:t>罐顶采用钢制拱顶。3万m³罐采用单层球面网壳拱顶，1万m³罐采用自支撑拱顶；罐顶板名义厚度取5 mm，不低于GB 50341—2014第7.1.3条规定的最小值。罐顶及支撑构件按该规范附录F的固定荷载、检修活荷载、风荷载和设计负压组合校核，其中固定顶活荷载不小于1.0 kPa。汽油罐在固定拱顶内设置钢制隔舱式内浮顶，柴油罐不设内浮顶。3万m³网壳拱顶的杆件、节点和整体稳定性应按第7.5节及附录H完成专项计算。</w:t>
      </w:r>
    </w:p>
    <w:p>
      <w:pPr>
        <w:pStyle w:val="Heading3"/>
        <w:keepNext/>
        <w:spacing w:before="60" w:after="60"/>
      </w:pPr>
      <w:r>
        <w:rPr>
          <w:rFonts w:ascii="Times New Roman" w:hAnsi="Times New Roman" w:eastAsia="黑体"/>
          <w:b/>
          <w:sz w:val="28"/>
        </w:rPr>
        <w:t>5.1.5 抗风与抗震稳定性</w:t>
      </w:r>
    </w:p>
    <w:p>
      <w:pPr>
        <w:spacing w:line="360" w:lineRule="auto" w:before="0" w:after="0"/>
        <w:ind w:firstLine="420"/>
        <w:jc w:val="both"/>
      </w:pPr>
      <w:r>
        <w:rPr>
          <w:rFonts w:ascii="Times New Roman" w:hAnsi="Times New Roman" w:eastAsia="宋体"/>
          <w:b w:val="0"/>
          <w:sz w:val="24"/>
        </w:rPr>
        <w:t>抗风稳定按GB 50341—2014第6.4节计算。广州市50年重现期基本风压按现行《建筑结构荷载规范》GB 50009—2012附录E取w₀=0.50 kPa；场址按较保守的B类地面粗糙度初算，18 m和16 m高度的风压高度变化系数分别取1.19和1.15，常压固定顶及内浮顶罐的设计负压取0.25 kPa。等效高度分段方法同时按所给抗风圈计算资料复核</w:t>
      </w:r>
      <w:r>
        <w:rPr>
          <w:rFonts w:ascii="Times New Roman" w:hAnsi="Times New Roman" w:eastAsia="宋体"/>
          <w:b w:val="0"/>
          <w:sz w:val="24"/>
          <w:vertAlign w:val="superscript"/>
        </w:rPr>
        <w:t>[3]</w:t>
      </w:r>
      <w:r>
        <w:rPr>
          <w:rFonts w:ascii="Times New Roman" w:hAnsi="Times New Roman" w:eastAsia="宋体"/>
          <w:b w:val="0"/>
          <w:sz w:val="24"/>
        </w:rPr>
        <w:t>。</w:t>
      </w:r>
    </w:p>
    <w:p>
      <w:pPr>
        <w:spacing w:before="60" w:after="60"/>
        <w:jc w:val="center"/>
      </w:pPr>
      <w:r>
        <w:rPr>
          <w:rFonts w:ascii="Cambria Math" w:hAnsi="Cambria Math" w:eastAsia="Cambria Math"/>
          <w:b w:val="0"/>
          <w:sz w:val="23"/>
        </w:rPr>
        <w:t>H_E = Σh_i(t_min/t_i)²·⁵；[P_cr] = 16.48t_min²·⁵/(D¹·⁵H_E)</w:t>
      </w:r>
    </w:p>
    <w:p>
      <w:pPr>
        <w:spacing w:before="60" w:after="60"/>
        <w:jc w:val="center"/>
      </w:pPr>
      <w:r>
        <w:rPr>
          <w:rFonts w:ascii="Cambria Math" w:hAnsi="Cambria Math" w:eastAsia="Cambria Math"/>
          <w:b w:val="0"/>
          <w:sz w:val="23"/>
        </w:rPr>
        <w:t>P₀ = 2.25μ_z w₀ + q</w:t>
      </w:r>
    </w:p>
    <w:p>
      <w:pPr>
        <w:spacing w:line="360" w:lineRule="auto" w:before="0" w:after="0"/>
        <w:ind w:firstLine="420"/>
        <w:jc w:val="both"/>
      </w:pPr>
      <w:r>
        <w:rPr>
          <w:rFonts w:ascii="Times New Roman" w:hAnsi="Times New Roman" w:eastAsia="宋体"/>
          <w:b w:val="0"/>
          <w:sz w:val="24"/>
        </w:rPr>
        <w:t>3万m³罐计算得H_E=8.62 m、[Pcr]=0.712 kPa、P₀=1.589 kPa；1万m³罐计算得H_E=9.94 m、[Pcr]=0.522 kPa、P₀=1.544 kPa。两者均满足P₀/2≥[Pcr]&gt;P₀/3，故各设两道中间抗风圈。3万m³罐抗风圈初定在罐底以上约15.1 m和12.3 m处，截面不小于L160×100×10；1万m³罐初定在约12.7 m和9.4 m处，截面不小于L125×80×8。最终位置应避开罐壁环焊缝、接管及消防构件，并按实际有效厚度复核。</w:t>
      </w:r>
    </w:p>
    <w:p>
      <w:pPr>
        <w:spacing w:line="360" w:lineRule="auto" w:before="0" w:after="0"/>
        <w:ind w:firstLine="420"/>
        <w:jc w:val="both"/>
      </w:pPr>
      <w:r>
        <w:rPr>
          <w:rFonts w:ascii="Times New Roman" w:hAnsi="Times New Roman" w:eastAsia="宋体"/>
          <w:b w:val="0"/>
          <w:sz w:val="24"/>
        </w:rPr>
        <w:t>根据GB 50341—2014第3.0.3条，抗震设防烈度为6度及以上地区必须进行抗震设计。黄埔区方案阶段按7度、设计基本地震加速度0.10g考虑，依据该规范附录D校核罐壁轴向压应力、液面晃动波高、底部剪力和倾覆力矩；锚固系数J大于1.54时设置锚栓。由于场址跨广深公路主干道两侧，具体地块的地震动参数、场地类别和液化判别须以区域地震安全性评价及岩土工程勘察报告为准，本阶段不在缺少勘察数据的条件下预设锚栓数量。</w:t>
      </w:r>
    </w:p>
    <w:p>
      <w:pPr>
        <w:pStyle w:val="Heading3"/>
        <w:keepNext/>
        <w:spacing w:before="60" w:after="60"/>
      </w:pPr>
      <w:r>
        <w:rPr>
          <w:rFonts w:ascii="Times New Roman" w:hAnsi="Times New Roman" w:eastAsia="黑体"/>
          <w:b/>
          <w:sz w:val="28"/>
        </w:rPr>
        <w:t>5.1.6 附件、检测与安全泄放</w:t>
      </w:r>
    </w:p>
    <w:p>
      <w:pPr>
        <w:spacing w:line="360" w:lineRule="auto" w:before="0" w:after="0"/>
        <w:ind w:firstLine="420"/>
        <w:jc w:val="both"/>
      </w:pPr>
      <w:r>
        <w:rPr>
          <w:rFonts w:ascii="Times New Roman" w:hAnsi="Times New Roman" w:eastAsia="宋体"/>
          <w:b w:val="0"/>
          <w:sz w:val="24"/>
        </w:rPr>
        <w:t>每座储罐设置进油口、出油口、罐底排水口、罐壁人孔、罐顶人孔、量油孔、取样口、温度测点、盘梯、操作平台及接地端子。汽油罐设置内浮顶导向、防转、自动通气和高液位保护装置；固定顶外缘设置环向通气设施，并保证油气排放满足《储油库大气污染物排放标准》GB 20950—2020。柴油固定顶罐设置呼吸阀和阻火器，正常通气量按最大进出油流量与热呼吸量确定；当正常通气能力不足时，按GB 50341—2014附录A设置紧急通气装置。</w:t>
      </w:r>
    </w:p>
    <w:p>
      <w:pPr>
        <w:spacing w:line="360" w:lineRule="auto" w:before="0" w:after="0"/>
        <w:ind w:firstLine="420"/>
        <w:jc w:val="both"/>
      </w:pPr>
      <w:r>
        <w:rPr>
          <w:rFonts w:ascii="Times New Roman" w:hAnsi="Times New Roman" w:eastAsia="宋体"/>
          <w:b w:val="0"/>
          <w:sz w:val="24"/>
        </w:rPr>
        <w:t>液位检测执行GB 50074—2014第15.1节，设置连续液位计、高液位报警和独立高高液位联锁切断；同时设置低液位报警及泵入口保护，防止抽空。接管开孔和补强按GB 50341—2014第10章计算，直径大于36 m储罐的接管外荷载按附录J校核。消防冷却和泡沫接口按GB 50074—2014第12章统一布置，接口方位应满足消防车道可接近性。</w:t>
      </w:r>
    </w:p>
    <w:p>
      <w:pPr>
        <w:pStyle w:val="Heading3"/>
        <w:keepNext/>
        <w:spacing w:before="60" w:after="60"/>
      </w:pPr>
      <w:r>
        <w:rPr>
          <w:rFonts w:ascii="Times New Roman" w:hAnsi="Times New Roman" w:eastAsia="黑体"/>
          <w:b/>
          <w:sz w:val="28"/>
        </w:rPr>
        <w:t>5.1.7 防腐、保温及基础</w:t>
      </w:r>
    </w:p>
    <w:p>
      <w:pPr>
        <w:spacing w:line="360" w:lineRule="auto" w:before="0" w:after="0"/>
        <w:ind w:firstLine="420"/>
        <w:jc w:val="both"/>
      </w:pPr>
      <w:r>
        <w:rPr>
          <w:rFonts w:ascii="Times New Roman" w:hAnsi="Times New Roman" w:eastAsia="宋体"/>
          <w:b w:val="0"/>
          <w:sz w:val="24"/>
        </w:rPr>
        <w:t>汽油和0号柴油均采用常温储存，不设置罐体保温、蒸汽盘管或伴热。防腐设计执行现行《钢质石油储罐防腐蚀工程技术标准》GB/T 50393—2017：罐外壁和罐顶采用耐候防腐涂层，罐底内表面及罐壁下部重点采用耐油防腐体系；罐底外表面结合基础防渗层采用涂层与阴极保护措施。涂层体系和干膜厚度应根据场地高温、高湿、多雨及临港工业大气环境完成腐蚀环境评价后确定。</w:t>
      </w:r>
    </w:p>
    <w:p>
      <w:pPr>
        <w:spacing w:line="360" w:lineRule="auto" w:before="0" w:after="0"/>
        <w:ind w:firstLine="420"/>
        <w:jc w:val="both"/>
      </w:pPr>
      <w:r>
        <w:rPr>
          <w:rFonts w:ascii="Times New Roman" w:hAnsi="Times New Roman" w:eastAsia="宋体"/>
          <w:b w:val="0"/>
          <w:sz w:val="24"/>
        </w:rPr>
        <w:t>基础初选钢筋混凝土环墙式基础。按GB 50341—2014附录E，基础应承受储罐自重、储液重量、充水试验荷载、风荷载和地震作用，并控制整体沉降及周边不均匀沉降；基础顶面设置厚度不小于100 mm的沥青砂垫层。黄埔区具体地基承载力、软弱土层厚度、地下水位和抗浮条件尚无勘察成果，环墙尺寸、地基处理方式及沉降控制值应在施工图阶段依据岩土工程勘察报告确定。基础四周设置截水、排水及防渗设施，避免年降雨量2240 mm条件下雨水长期浸泡基础。</w:t>
      </w:r>
    </w:p>
    <w:p>
      <w:pPr>
        <w:pStyle w:val="Heading3"/>
        <w:keepNext/>
        <w:spacing w:before="60" w:after="60"/>
      </w:pPr>
      <w:r>
        <w:rPr>
          <w:rFonts w:ascii="Times New Roman" w:hAnsi="Times New Roman" w:eastAsia="黑体"/>
          <w:b/>
          <w:sz w:val="28"/>
        </w:rPr>
        <w:t>5.1.8 选型结果</w:t>
      </w:r>
    </w:p>
    <w:p>
      <w:pPr>
        <w:spacing w:line="360" w:lineRule="auto" w:before="0" w:after="0"/>
        <w:ind w:firstLine="420"/>
        <w:jc w:val="both"/>
      </w:pPr>
      <w:r>
        <w:rPr>
          <w:rFonts w:ascii="Times New Roman" w:hAnsi="Times New Roman" w:eastAsia="宋体"/>
          <w:b w:val="0"/>
          <w:sz w:val="24"/>
        </w:rPr>
        <w:t>本设计共设置6座立式圆筒形钢制焊接储罐：92号汽油采用2座3万m³钢制内浮顶罐；95号汽油采用1座3万m³和1座1万m³钢制内浮顶罐；0号柴油采用2座3万m³固定拱顶罐。3万m³罐壁名义厚度自下而上取22、20、16、14、12、10、8、8、8 mm，1万m³罐取12、10、10、8、6、6、6、6 mm；罐底中幅板取8 mm，3万m³和1万m³罐环形边缘板分别取12 mm和10 mm。该配置满足第4.1节容量要求，罐型、最小厚度及初步抗风构造符合现行国家标准。抗震锚固、基础尺寸、罐顶网壳、接管补强和通气能力在取得场址勘察、设备订货及最大收发油流量后进行施工图深化。</w:t>
      </w:r>
    </w:p>
    <w:p>
      <w:pPr>
        <w:pStyle w:val="Heading3"/>
        <w:keepNext/>
        <w:spacing w:before="60" w:after="60"/>
      </w:pPr>
      <w:r>
        <w:rPr>
          <w:rFonts w:ascii="Times New Roman" w:hAnsi="Times New Roman" w:eastAsia="黑体"/>
          <w:b/>
          <w:sz w:val="28"/>
        </w:rPr>
        <w:t>本节资料来源</w:t>
      </w:r>
    </w:p>
    <w:p>
      <w:pPr>
        <w:spacing w:line="360" w:lineRule="auto" w:before="0" w:after="0"/>
        <w:ind w:firstLine="0"/>
        <w:jc w:val="both"/>
      </w:pPr>
      <w:r>
        <w:rPr>
          <w:rFonts w:ascii="Times New Roman" w:hAnsi="Times New Roman" w:eastAsia="宋体"/>
          <w:b w:val="0"/>
          <w:sz w:val="24"/>
        </w:rPr>
        <w:t>[1] 裴慧琳. 计划表—裴慧琳[Z]. 2026.</w:t>
      </w:r>
    </w:p>
    <w:p>
      <w:pPr>
        <w:spacing w:line="360" w:lineRule="auto" w:before="0" w:after="0"/>
        <w:ind w:firstLine="0"/>
        <w:jc w:val="both"/>
      </w:pPr>
      <w:r>
        <w:rPr>
          <w:rFonts w:ascii="Times New Roman" w:hAnsi="Times New Roman" w:eastAsia="宋体"/>
          <w:b w:val="0"/>
          <w:sz w:val="24"/>
        </w:rPr>
        <w:t>[2] 泉州职业技术大学. 油库毕业设计指导书[Z].</w:t>
      </w:r>
    </w:p>
    <w:p>
      <w:pPr>
        <w:spacing w:line="360" w:lineRule="auto" w:before="0" w:after="0"/>
        <w:ind w:firstLine="0"/>
        <w:jc w:val="both"/>
      </w:pPr>
      <w:r>
        <w:rPr>
          <w:rFonts w:ascii="Times New Roman" w:hAnsi="Times New Roman" w:eastAsia="宋体"/>
          <w:b w:val="0"/>
          <w:sz w:val="24"/>
        </w:rPr>
        <w:t>[3] 抗风圈计算+变点法计算储罐壁厚[Z]. 用户提供技术资料.</w:t>
      </w:r>
    </w:p>
    <w:sectPr w:rsidR="00FC693F" w:rsidRPr="0006063C" w:rsidSect="00034616">
      <w:footerReference w:type="default" r:id="rId9"/>
      <w:pgSz w:w="12240" w:h="15840"/>
      <w:pgMar w:top="1701" w:right="1134" w:bottom="1417" w:left="1417"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