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3"/>
        <w:bidi w:val="0"/>
        <w:rPr>
          <w:rFonts w:hint="eastAsia"/>
          <w:lang w:val="en-US" w:eastAsia="zh-CN"/>
        </w:rPr>
      </w:pPr>
      <w:r>
        <w:rPr>
          <w:rFonts w:hint="eastAsia"/>
          <w:lang w:val="en-US" w:eastAsia="zh-CN"/>
        </w:rPr>
        <w:t>5.2收油工艺</w:t>
      </w:r>
    </w:p>
    <w:p>
      <w:pPr>
        <w:pStyle w:val="24"/>
        <w:bidi w:val="0"/>
        <w:rPr>
          <w:rFonts w:hint="default"/>
          <w:lang w:val="en-US" w:eastAsia="zh-CN"/>
        </w:rPr>
      </w:pPr>
      <w:r>
        <w:rPr>
          <w:rFonts w:hint="eastAsia"/>
          <w:lang w:val="en-US" w:eastAsia="zh-CN"/>
        </w:rPr>
        <w:t>5.2.1设计条件与工艺方案</w:t>
      </w:r>
    </w:p>
    <w:p>
      <w:pPr>
        <w:bidi w:val="0"/>
      </w:pPr>
      <w:r>
        <w:rPr>
          <w:rFonts w:hint="eastAsia"/>
          <w:lang w:eastAsia="zh-CN"/>
        </w:rPr>
        <w:t>本油库位于广州市黄埔区广深公路主干道两旁，接收92号汽油、95号汽油和0号柴油。依据计划表及第3.1.2节，三种油品均采用管道密闭进库，年进库量分别为28×10⁴t、15×10⁴t和24×10⁴t，合计67×10⁴t。油品火灾危险性分类执行现行《石油库设计规范》GB 50074—2014第3.0.3条：92号、95号汽油按甲B类液体设计；0号柴油在常温收油且实测闭口闪点不低于60℃、不高于120℃时按丙A类液体设计，收油前应核验供货质量证明或检验结果。</w:t>
      </w:r>
    </w:p>
    <w:p>
      <w:pPr>
        <w:pStyle w:val="25"/>
        <w:bidi w:val="0"/>
        <w:jc w:val="center"/>
        <w:rPr>
          <w:rFonts w:hint="default" w:ascii="Times New Roman" w:hAnsi="Times New Roman" w:eastAsia="宋体" w:cs="Times New Roman"/>
          <w:szCs w:val="21"/>
        </w:rPr>
      </w:pPr>
      <w:r>
        <w:rPr>
          <w:rFonts w:hint="default"/>
        </w:rPr>
        <w:t>表5-1  收油工艺基础数据</w:t>
      </w:r>
    </w:p>
    <w:tbl>
      <w:tblPr>
        <w:tblStyle w:val="17"/>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650"/>
            <w:vAlign w:val="center"/>
            <w:tcMar>
              <w:top w:w="90" w:type="dxa"/>
              <w:start w:w="90" w:type="dxa"/>
              <w:bottom w:w="90" w:type="dxa"/>
              <w:end w:w="90" w:type="dxa"/>
            </w:tcMar>
          </w:tcPr>
          <w:p>
            <w:pPr>
              <w:spacing w:before="0" w:after="0" w:line="288" w:lineRule="auto"/>
              <w:jc w:val="center"/>
            </w:pPr>
            <w:r>
              <w:rPr>
                <w:rFonts w:ascii="宋体" w:hAnsi="宋体" w:eastAsia="宋体"/>
                <w:b/>
                <w:sz w:val="21"/>
              </w:rPr>
              <w:t>油品</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b/>
                <w:sz w:val="21"/>
              </w:rPr>
              <w:t>年进库量/（×10⁴t）</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b/>
                <w:sz w:val="21"/>
              </w:rPr>
              <w:t>进库方式及比例</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b/>
                <w:sz w:val="21"/>
              </w:rPr>
              <w:t>目标罐组</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b/>
                <w:sz w:val="21"/>
              </w:rPr>
              <w:t>火灾危险性类别</w:t>
            </w:r>
          </w:p>
        </w:tc>
      </w:tr>
      <w:tr>
        <w:tc>
          <w:tcPr>
            <w:tcW w:type="dxa" w:w="1650"/>
            <w:vAlign w:val="center"/>
            <w:tcMar>
              <w:top w:w="90" w:type="dxa"/>
              <w:start w:w="90" w:type="dxa"/>
              <w:bottom w:w="90" w:type="dxa"/>
              <w:end w:w="90" w:type="dxa"/>
            </w:tcMar>
          </w:tcPr>
          <w:p>
            <w:pPr>
              <w:spacing w:before="0" w:after="0" w:line="288" w:lineRule="auto"/>
              <w:jc w:val="center"/>
            </w:pPr>
            <w:r>
              <w:rPr>
                <w:rFonts w:ascii="宋体" w:hAnsi="宋体" w:eastAsia="宋体"/>
                <w:sz w:val="21"/>
              </w:rPr>
              <w:t>92号汽油</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sz w:val="21"/>
              </w:rPr>
              <w:t>28</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sz w:val="21"/>
              </w:rPr>
              <w:t>管道（100%）</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sz w:val="21"/>
              </w:rPr>
              <w:t>92号汽油罐组</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sz w:val="21"/>
              </w:rPr>
              <w:t>甲B类</w:t>
            </w:r>
          </w:p>
        </w:tc>
      </w:tr>
      <w:tr>
        <w:tc>
          <w:tcPr>
            <w:tcW w:type="dxa" w:w="1650"/>
            <w:vAlign w:val="center"/>
            <w:tcMar>
              <w:top w:w="90" w:type="dxa"/>
              <w:start w:w="90" w:type="dxa"/>
              <w:bottom w:w="90" w:type="dxa"/>
              <w:end w:w="90" w:type="dxa"/>
            </w:tcMar>
          </w:tcPr>
          <w:p>
            <w:pPr>
              <w:spacing w:before="0" w:after="0" w:line="288" w:lineRule="auto"/>
              <w:jc w:val="center"/>
            </w:pPr>
            <w:r>
              <w:rPr>
                <w:rFonts w:ascii="宋体" w:hAnsi="宋体" w:eastAsia="宋体"/>
                <w:sz w:val="21"/>
              </w:rPr>
              <w:t>95号汽油</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sz w:val="21"/>
              </w:rPr>
              <w:t>15</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sz w:val="21"/>
              </w:rPr>
              <w:t>管道（100%）</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sz w:val="21"/>
              </w:rPr>
              <w:t>95号汽油罐组</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sz w:val="21"/>
              </w:rPr>
              <w:t>甲B类</w:t>
            </w:r>
          </w:p>
        </w:tc>
      </w:tr>
      <w:tr>
        <w:tc>
          <w:tcPr>
            <w:tcW w:type="dxa" w:w="1650"/>
            <w:vAlign w:val="center"/>
            <w:tcMar>
              <w:top w:w="90" w:type="dxa"/>
              <w:start w:w="90" w:type="dxa"/>
              <w:bottom w:w="90" w:type="dxa"/>
              <w:end w:w="90" w:type="dxa"/>
            </w:tcMar>
          </w:tcPr>
          <w:p>
            <w:pPr>
              <w:spacing w:before="0" w:after="0" w:line="288" w:lineRule="auto"/>
              <w:jc w:val="center"/>
            </w:pPr>
            <w:r>
              <w:rPr>
                <w:rFonts w:ascii="宋体" w:hAnsi="宋体" w:eastAsia="宋体"/>
                <w:sz w:val="21"/>
              </w:rPr>
              <w:t>0号柴油</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sz w:val="21"/>
              </w:rPr>
              <w:t>24</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sz w:val="21"/>
              </w:rPr>
              <w:t>管道（100%）</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sz w:val="21"/>
              </w:rPr>
              <w:t>0号柴油罐组</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sz w:val="21"/>
              </w:rPr>
              <w:t>丙A类</w:t>
            </w:r>
          </w:p>
        </w:tc>
      </w:tr>
      <w:tr>
        <w:tc>
          <w:tcPr>
            <w:tcW w:type="dxa" w:w="1650"/>
            <w:vAlign w:val="center"/>
            <w:tcMar>
              <w:top w:w="90" w:type="dxa"/>
              <w:start w:w="90" w:type="dxa"/>
              <w:bottom w:w="90" w:type="dxa"/>
              <w:end w:w="90" w:type="dxa"/>
            </w:tcMar>
          </w:tcPr>
          <w:p>
            <w:pPr>
              <w:spacing w:before="0" w:after="0" w:line="288" w:lineRule="auto"/>
              <w:jc w:val="center"/>
            </w:pPr>
            <w:r>
              <w:rPr>
                <w:rFonts w:ascii="宋体" w:hAnsi="宋体" w:eastAsia="宋体"/>
                <w:sz w:val="21"/>
              </w:rPr>
              <w:t>合计</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sz w:val="21"/>
              </w:rPr>
              <w:t>67</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sz w:val="21"/>
              </w:rPr>
              <w:t>管道（100%）</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sz w:val="21"/>
              </w:rPr>
              <w:t>—</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sz w:val="21"/>
              </w:rPr>
              <w:t>—</w:t>
            </w:r>
          </w:p>
        </w:tc>
      </w:tr>
    </w:tbl>
    <w:p>
      <w:pPr>
        <w:bidi w:val="0"/>
      </w:pPr>
      <w:r>
        <w:rPr>
          <w:rFonts w:hint="eastAsia"/>
          <w:lang w:eastAsia="zh-CN"/>
        </w:rPr>
        <w:t>工艺系统采用“库外输油管道—库界切断与计量设施—分配阀组—分油品专用支管—目标储罐”的密闭收油方案。92号汽油、95号汽油和0号柴油分别设置专用罐前支管，收、发油主管相互独立；同一油品罐组通过切换阀选择接收储罐。管线专用或分组共用的确定遵循油品性质、质量控制和作业灵活性要求。</w:t>
      </w:r>
      <w:r>
        <w:rPr>
          <w:sz w:val="16"/>
          <w:vertAlign w:val="superscript"/>
        </w:rPr>
        <w:t>[15]</w:t>
      </w:r>
    </w:p>
    <w:p>
      <w:pPr>
        <w:bidi w:val="0"/>
      </w:pPr>
      <w:r>
        <w:rPr>
          <w:rFonts w:hint="eastAsia"/>
          <w:lang w:eastAsia="zh-CN"/>
        </w:rPr>
        <w:t>正常收油利用上游输油管道压力，不预设常态增压泵和带气相空间的缓冲罐。第6章应按最大、正常及上游低压工况校核流量、沿程及局部阻力、储罐入口剩余压力、汽化裕量和水击压力；同时依据管径、介质性质及防静电要求控制流速。计算不能满足连续收油要求时，设置一用一备增压泵，并预留接口和安装位置。增压泵入口压力、必需汽蚀余量及停泵瞬态须单独校核，避免气蚀和管内负压。混油暂存系统设置独立密闭转输泵，不与正常收油动力系统混用。</w:t>
      </w:r>
    </w:p>
    <w:p>
      <w:pPr>
        <w:bidi w:val="0"/>
      </w:pPr>
      <w:r>
        <w:rPr>
          <w:rFonts w:hint="eastAsia"/>
          <w:lang w:eastAsia="zh-CN"/>
        </w:rPr>
        <w:t>本阶段库内收油管线不跨越广深公路，道路两侧如均布置生产设施，应分别设置库外接入点、计量边界和切断设施。后期确需穿越公路时，应履行专项审批，并按GB 50074—2014第9.1.5条采用套管、涵洞或其他防护措施；穿越段两侧设置分段切断、检漏与永久警示标识，并结合公路拓宽和第三方施工条件复核埋深、荷载及检修空间。</w:t>
      </w:r>
    </w:p>
    <w:p>
      <w:pPr>
        <w:pStyle w:val="24"/>
        <w:bidi w:val="0"/>
        <w:rPr>
          <w:rFonts w:hint="default"/>
          <w:lang w:val="en-US" w:eastAsia="zh-CN"/>
        </w:rPr>
      </w:pPr>
      <w:r>
        <w:rPr>
          <w:rFonts w:hint="eastAsia"/>
          <w:lang w:val="en-US" w:eastAsia="zh-CN"/>
        </w:rPr>
        <w:t>5.2.2收油流程及设备配置</w:t>
      </w:r>
    </w:p>
    <w:p>
      <w:pPr>
        <w:bidi w:val="0"/>
      </w:pPr>
      <w:r>
        <w:rPr>
          <w:rFonts w:hint="eastAsia"/>
          <w:lang w:eastAsia="zh-CN"/>
        </w:rPr>
        <w:t>收油主流程如下：</w:t>
      </w:r>
    </w:p>
    <w:p>
      <w:pPr>
        <w:bidi w:val="0"/>
        <w:jc w:val="center"/>
      </w:pPr>
      <w:r>
        <w:rPr>
          <w:rFonts w:hint="eastAsia"/>
          <w:lang w:eastAsia="zh-CN"/>
        </w:rPr>
        <w:t>库外输油管道→库界紧急切断阀→压力、温度测量→过滤设施→流量计量与自动取样→在线密度及界面识别→进库分配阀组→对应油品专用支管→储罐进口控制阀→目标储罐。</w:t>
      </w:r>
    </w:p>
    <w:p>
      <w:pPr>
        <w:bidi w:val="0"/>
      </w:pPr>
      <w:r>
        <w:rPr>
          <w:rFonts w:hint="eastAsia"/>
          <w:lang w:eastAsia="zh-CN"/>
        </w:rPr>
        <w:t>库界总阀后设置可切换的双联过滤器，配置差压远传及高差压报警，保证一台检修时另一台维持受控收油。过滤精度不采用无设备依据的固定数值，而应根据上游管道清洁度、流量计和控制阀允许颗粒度确定；必要时预留在线含水分析接口，含水异常经复核后切入不合格油流程。计量段设置压力、温度、流量、密度和自动取样设施，仪表量程按正常流量及最大校核流量确定。</w:t>
      </w:r>
    </w:p>
    <w:p>
      <w:pPr>
        <w:bidi w:val="0"/>
      </w:pPr>
      <w:r>
        <w:rPr>
          <w:rFonts w:hint="eastAsia"/>
          <w:lang w:eastAsia="zh-CN"/>
        </w:rPr>
        <w:t>汽油管道收油按现行《储油库大气污染物排放标准》GB 20950—2020第4.1.4条保持密闭，阀组、计量、取样及低点排液均采用闭式连接；0号柴油执行同等密闭要求。汽油储罐储存控制按该标准第4.2.1条、第4.2.2条执行，内浮顶罐的浮盘、密封及附件应满足规定。罐顶油气是否另行接入处理装置，应根据储罐型式、环境影响评价和排放核算确定，不将油气回收装置故障直接设定为全部收油流程的无条件联锁。</w:t>
      </w:r>
    </w:p>
    <w:p>
      <w:pPr>
        <w:bidi w:val="0"/>
      </w:pPr>
      <w:r>
        <w:rPr>
          <w:rFonts w:hint="eastAsia"/>
          <w:lang w:eastAsia="zh-CN"/>
        </w:rPr>
        <w:t>金属工艺管道连接执行GB 50074—2014第9.1.9条，管道之间及管道与管件之间采用焊接，设备、阀门和仪表处宜采用法兰连接。储罐连接管系按第9.1.10条设置足够柔性并校核管口荷载，优先利用管线自然补偿；确需补偿器时，应经应力分析确定型式、导向和限位，不直接将波纹补偿器作为常规配置。长直管段设置位移检查点，检修隔离位置预留盲板和氮气置换接口。</w:t>
      </w:r>
    </w:p>
    <w:p>
      <w:pPr>
        <w:pStyle w:val="24"/>
        <w:bidi w:val="0"/>
        <w:rPr>
          <w:rFonts w:hint="default"/>
          <w:lang w:val="en-US" w:eastAsia="zh-CN"/>
        </w:rPr>
      </w:pPr>
      <w:r>
        <w:rPr>
          <w:rFonts w:hint="eastAsia"/>
          <w:lang w:val="en-US" w:eastAsia="zh-CN"/>
        </w:rPr>
        <w:t>5.2.3收油作业程序</w:t>
      </w:r>
    </w:p>
    <w:p>
      <w:pPr>
        <w:bidi w:val="0"/>
      </w:pPr>
      <w:r>
        <w:rPr>
          <w:rFonts w:hint="eastAsia"/>
          <w:lang w:eastAsia="zh-CN"/>
        </w:rPr>
        <w:t>（1）作业准备。核对输送计划、油品牌号、批次、预计数量和质量证明，确认目标罐、备用罐及混油接收流程。依据罐容表、当前液位和安全液位计算可接收量，完成阀位、过滤器、计量仪表、联锁、通信及闭式回收设施检查。不同油品采用专用支管和可靠双重隔离；盲板用于检修或长期隔离，并执行挂牌和台账管理，不作为每次正常切换的固定操作。</w:t>
      </w:r>
    </w:p>
    <w:p>
      <w:pPr>
        <w:bidi w:val="0"/>
      </w:pPr>
      <w:r>
        <w:rPr>
          <w:rFonts w:hint="eastAsia"/>
          <w:lang w:eastAsia="zh-CN"/>
        </w:rPr>
        <w:t>（2）启动与正常收油。先建立目标储罐入口流程，再通知上游低流量启输，连续检查库界压力、流量、密度、温度、过滤器差压、阀位和储罐液位。参数稳定且无泄漏后分阶段升至设计流量。初始流量比例、稳压时间和升压速率由水力瞬态计算及联动试车确定，不采用缺少计算依据的统一数值。正常收油期间连续核对管道累计量与储罐收油量趋势；发生压力或流量突变、含水或密度异常、过滤器高差压、阀位不一致和泄漏时，立即降量或停输。</w:t>
      </w:r>
    </w:p>
    <w:p>
      <w:pPr>
        <w:bidi w:val="0"/>
      </w:pPr>
      <w:r>
        <w:rPr>
          <w:rFonts w:hint="eastAsia"/>
          <w:lang w:eastAsia="zh-CN"/>
        </w:rPr>
        <w:t>（3）切罐与结束。同油品切罐按“先开后关”建立连续流路，备用罐进口阀分级开启，待压力、流量及液位变化稳定后关闭原罐进口阀，具体重叠时间由调试确定。收油结束前由上游平稳降量，停输后关闭罐前阀和库界阀，完成受控泄压、计量交接、液位复核、取样检验及记录。残油由低点排液进入对应闭式回收设施；氮气置换仅用于管线隔离检修，不作为每批收油后的常规操作。</w:t>
      </w:r>
    </w:p>
    <w:p>
      <w:pPr>
        <w:pStyle w:val="24"/>
        <w:bidi w:val="0"/>
        <w:rPr>
          <w:rFonts w:hint="default"/>
          <w:lang w:val="en-US" w:eastAsia="zh-CN"/>
        </w:rPr>
      </w:pPr>
      <w:r>
        <w:rPr>
          <w:rFonts w:hint="eastAsia"/>
          <w:lang w:val="en-US" w:eastAsia="zh-CN"/>
        </w:rPr>
        <w:t>5.2.4界面油与不合格油处置</w:t>
      </w:r>
    </w:p>
    <w:p>
      <w:pPr>
        <w:bidi w:val="0"/>
      </w:pPr>
      <w:r>
        <w:rPr>
          <w:rFonts w:hint="eastAsia"/>
          <w:lang w:eastAsia="zh-CN"/>
        </w:rPr>
        <w:t>上游分批输送不同牌号油品时，以输送顺序、管道存油量、在线密度连续曲线和分段取样结果共同判断界面。控制系统设置界面预报及自动切换程序，自动动作应保留操作员确认和就地应急切换功能。合格前段进入原目标罐，界面段进入混油暂存流程，后续油品经质量确认后切入下一目标罐。</w:t>
      </w:r>
    </w:p>
    <w:p>
      <w:pPr>
        <w:bidi w:val="0"/>
      </w:pPr>
      <w:r>
        <w:rPr>
          <w:rFonts w:hint="eastAsia"/>
          <w:lang w:eastAsia="zh-CN"/>
        </w:rPr>
        <w:t>汽油牌号间界面油与汽油—柴油交叉界面油分别进入独立收集路径或分隔暂存设施，禁止重度交叉污染油进入轻度混油系统。暂存有效容积按最大单批界面油量、切割裕量、检验滞后量和安全余量确定。混油系统设置密闭取样、专用转输泵和固定回掺或外运接口；经化验和调和计算确认满足产品标准后方可限量回掺，不能利用的油品按其属性和管理要求外运处置，不采用临时软管敞口转输。</w:t>
      </w:r>
    </w:p>
    <w:p>
      <w:pPr>
        <w:pStyle w:val="24"/>
        <w:bidi w:val="0"/>
        <w:rPr>
          <w:rFonts w:hint="default"/>
          <w:lang w:val="en-US" w:eastAsia="zh-CN"/>
        </w:rPr>
      </w:pPr>
      <w:r>
        <w:rPr>
          <w:rFonts w:hint="eastAsia"/>
          <w:lang w:val="en-US" w:eastAsia="zh-CN"/>
        </w:rPr>
        <w:t>5.2.5自动控制、安全及运维</w:t>
      </w:r>
    </w:p>
    <w:p>
      <w:pPr>
        <w:bidi w:val="0"/>
      </w:pPr>
      <w:r>
        <w:rPr>
          <w:rFonts w:hint="eastAsia"/>
          <w:lang w:eastAsia="zh-CN"/>
        </w:rPr>
        <w:t>所有收油储罐均设置液位连续测量远传及高、低液位报警，执行GB 50074—2014第15.1.1条。符合第15.1.2条适用条件的甲B类储罐设置高高液位报警并联锁关闭进口控制阀；其余收油罐同样设置独立高高液位检测及防溢流切断，作为本项目提高性措施。高高液位信号采用独立连续液位仪表或液位开关，符合第15.1.4条。仪表表决方式、是否设置安全仪表系统及其完整性等级应经危险与可操作性分析和保护层分析确定，不预设“二取二”或SIL2。</w:t>
      </w:r>
    </w:p>
    <w:p>
      <w:pPr>
        <w:bidi w:val="0"/>
      </w:pPr>
      <w:r>
        <w:rPr>
          <w:rFonts w:hint="eastAsia"/>
          <w:lang w:eastAsia="zh-CN"/>
        </w:rPr>
        <w:t>紧急联锁按“上游减量或停输—关闭储罐进口阀—关闭库界切断阀—受控泄压”顺序执行，阀门关闭曲线由水击计算确定。若瞬态压力仍超过设计允许值，再设置缓闭执行机构、水击吸收装置或蓄能设施。汽油、柴油超压泄放管路相互独立，分别进入对应闭式回收设施，防止交叉污染。库界紧急切断阀设控制室远程、现场防爆操作及失去动力后的手动关闭功能，执行机构状态反馈至控制系统。</w:t>
      </w:r>
    </w:p>
    <w:p>
      <w:pPr>
        <w:bidi w:val="0"/>
      </w:pPr>
      <w:r>
        <w:rPr>
          <w:rFonts w:hint="eastAsia"/>
          <w:lang w:eastAsia="zh-CN"/>
        </w:rPr>
        <w:t>一级石油库重要控制阀在控制室显示状态并具备控制功能，执行GB 50074—2014第15.1.7条。汽油计量站、阀门集中处及排水井等可能泄漏并积聚油气的场所按第15.1.9条设置可燃气体检测器；一级报警时降量并现场核查，二级报警或确认泄漏时停输、切断和启动应急处置。露天区域不设置无实际作用的通风联锁，封闭计量间的防爆通风则按检测结果联动。</w:t>
      </w:r>
    </w:p>
    <w:p>
      <w:pPr>
        <w:bidi w:val="0"/>
      </w:pPr>
      <w:r>
        <w:rPr>
          <w:rFonts w:hint="eastAsia"/>
          <w:lang w:eastAsia="zh-CN"/>
        </w:rPr>
        <w:t>工艺管道始端、末端、分支处及直线段每隔200～300m设置防静电和防雷电感应接地，执行GB 50074—2014第14.3.10条；接地连续性和接地电阻纳入定期检测，在线监测仅作为条件允许时的辅助措施。计量站和阀组区设置防渗地面及围堰，含油排液、初期污染雨水和事故泄漏液分别导入闭式回收或事故收集系统。运行数据、报警、联锁、油气控制及检维修记录按GB 20950—2020、排污许可证和企业档案制度保存。广州地区常温条件下不设置柴油常规伴热，过滤器凝堵风险通过油品冷滤点核验和差压监测控制；仅在低温校核不满足时局部保温或伴热。</w:t>
      </w:r>
    </w:p>
    <w:p>
      <w:pPr>
        <w:pStyle w:val="24"/>
        <w:bidi w:val="0"/>
        <w:rPr>
          <w:rFonts w:hint="default"/>
          <w:lang w:val="en-US" w:eastAsia="zh-CN"/>
        </w:rPr>
      </w:pPr>
      <w:r>
        <w:rPr>
          <w:rFonts w:hint="eastAsia"/>
          <w:lang w:val="en-US" w:eastAsia="zh-CN"/>
        </w:rPr>
        <w:t>本节引用参考文献</w:t>
      </w:r>
    </w:p>
    <w:p>
      <w:pPr>
        <w:bidi w:val="0"/>
        <w:ind w:firstLine="0"/>
      </w:pPr>
      <w:r>
        <w:rPr>
          <w:rFonts w:hint="eastAsia"/>
          <w:lang w:eastAsia="zh-CN"/>
        </w:rPr>
        <w:t>[15] 油库毕业设计指导书[Z]. 第五章“油库设计”：139-154.</w:t>
      </w:r>
    </w:p>
    <w:sectPr>
      <w:footerReference r:id="rId20" w:type="default"/>
      <w:footnotePr>
        <w:numFmt w:val="decimalEnclosedCircleChinese"/>
        <w:numRestart w:val="eachPage"/>
      </w:footnotePr>
      <w:pgSz w:w="11906" w:h="16838"/>
      <w:pgMar w:top="1701" w:right="1134" w:bottom="1417" w:left="1417" w:header="907" w:footer="850"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2BAEE853-D1BF-479D-B762-5E8B328142AF}"/>
  </w:font>
  <w:font w:name="黑体">
    <w:panose1 w:val="02010609060101010101"/>
    <w:charset w:val="86"/>
    <w:family w:val="auto"/>
    <w:pitch w:val="default"/>
    <w:sig w:usb0="800002BF" w:usb1="38CF7CFA" w:usb2="00000016" w:usb3="00000000" w:csb0="00040001" w:csb1="00000000"/>
    <w:embedRegular r:id="rId2" w:fontKey="{3F5DB07D-C225-4A39-8D60-1247A422FF7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E47400D6-4596-4F8D-AD64-6E5F45263CBB}"/>
  </w:font>
  <w:font w:name="微软雅黑">
    <w:panose1 w:val="020B0503020204020204"/>
    <w:charset w:val="86"/>
    <w:family w:val="swiss"/>
    <w:pitch w:val="default"/>
    <w:sig w:usb0="80000287" w:usb1="2ACF3C50" w:usb2="00000016" w:usb3="00000000" w:csb0="0004001F" w:csb1="00000000"/>
    <w:embedRegular r:id="rId4" w:fontKey="{A2E44312-CBC6-46D7-8C51-9E7B1E1E1C60}"/>
  </w:font>
  <w:font w:name="楷体">
    <w:panose1 w:val="02010609060101010101"/>
    <w:charset w:val="86"/>
    <w:family w:val="modern"/>
    <w:pitch w:val="default"/>
    <w:sig w:usb0="800002BF" w:usb1="38CF7CFA" w:usb2="00000016" w:usb3="00000000" w:csb0="00040001" w:csb1="00000000"/>
    <w:embedRegular r:id="rId5" w:fontKey="{4C4C82D2-1926-47D7-ACCC-9F35875331EC}"/>
  </w:font>
  <w:font w:name="方正仿宋_GB2312">
    <w:panose1 w:val="02000000000000000000"/>
    <w:charset w:val="86"/>
    <w:family w:val="auto"/>
    <w:pitch w:val="default"/>
    <w:sig w:usb0="A00002BF" w:usb1="184F6CFA" w:usb2="00000012" w:usb3="00000000" w:csb0="00040001" w:csb1="00000000"/>
    <w:embedRegular r:id="rId6" w:fontKey="{410CE39B-B753-4194-A623-58C23FC49BD0}"/>
  </w:font>
  <w:font w:name="Cambria Math">
    <w:panose1 w:val="02040503050406030204"/>
    <w:charset w:val="00"/>
    <w:family w:val="auto"/>
    <w:pitch w:val="default"/>
    <w:sig w:usb0="E00006FF" w:usb1="420024FF" w:usb2="02000000" w:usb3="00000000" w:csb0="2000019F" w:csb1="00000000"/>
  </w:font>
  <w:font w:name="方正VDL哥特明朝 简 M">
    <w:panose1 w:val="020006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EEBA1">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9CFD5">
    <w:pPr>
      <w:pStyle w:val="8"/>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961CC">
                          <w:pPr>
                            <w:pStyle w:val="8"/>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8C961CC">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80449">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8A221">
    <w:pPr>
      <w:pStyle w:val="8"/>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97B4E7">
                          <w:pPr>
                            <w:pStyle w:val="8"/>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397B4E7">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B23C3">
    <w:pPr>
      <w:pStyle w:val="8"/>
      <w:rPr>
        <w:lang w:val="en-US"/>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F1882C">
                          <w:pPr>
                            <w:pStyle w:val="8"/>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0AF1882C">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611BC">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93C8D2">
                          <w:pPr>
                            <w:pStyle w:val="8"/>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B93C8D2">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53B96">
    <w:pPr>
      <w:pStyle w:val="8"/>
      <w:rPr>
        <w:lang w:val="en-US"/>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5DFE8">
                          <w:pPr>
                            <w:pStyle w:val="8"/>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0D35DFE8">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86FFE">
    <w:pPr>
      <w:pStyle w:val="8"/>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A5EB55">
                          <w:pPr>
                            <w:pStyle w:val="8"/>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FA5EB55">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EB97C">
    <w:pPr>
      <w:pStyle w:val="8"/>
      <w:rPr>
        <w:lang w:val="en-US"/>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421FF8">
                          <w:pPr>
                            <w:pStyle w:val="8"/>
                          </w:pPr>
                          <w:r>
                            <w:fldChar w:fldCharType="begin"/>
                          </w:r>
                          <w:r>
                            <w:instrText xml:space="preserve"> PAGE  \* MERGEFORMAT </w:instrText>
                          </w:r>
                          <w:r>
                            <w:fldChar w:fldCharType="separate"/>
                          </w:r>
                          <w:r>
                            <w:t>- 34 -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7C421FF8">
                    <w:pPr>
                      <w:pStyle w:val="8"/>
                    </w:pPr>
                    <w:r>
                      <w:fldChar w:fldCharType="begin"/>
                    </w:r>
                    <w:r>
                      <w:instrText xml:space="preserve"> PAGE  \* MERGEFORMAT </w:instrText>
                    </w:r>
                    <w:r>
                      <w:fldChar w:fldCharType="separate"/>
                    </w:r>
                    <w:r>
                      <w:t>- 34 -</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F60DE">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D8DC03">
                          <w:pPr>
                            <w:pStyle w:val="8"/>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ls4k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OlhX76vuAjrP&#10;srDVD5bHNFFIb1eHADGTxlGgTpVeN/ReqlI/J7G5/9ynqKd/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4ls4kzAgAAYwQAAA4AAAAAAAAAAQAgAAAAHwEAAGRycy9lMm9Eb2MueG1sUEsF&#10;BgAAAAAGAAYAWQEAAMQFAAAAAA==&#10;">
              <v:fill on="f" focussize="0,0"/>
              <v:stroke on="f" weight="0.5pt"/>
              <v:imagedata o:title=""/>
              <o:lock v:ext="edit" aspectratio="f"/>
              <v:textbox inset="0mm,0mm,0mm,0mm" style="mso-fit-shape-to-text:t;">
                <w:txbxContent>
                  <w:p w14:paraId="1ED8DC03">
                    <w:pPr>
                      <w:pStyle w:val="8"/>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60208">
    <w:pPr>
      <w:pStyle w:val="8"/>
      <w:rPr>
        <w:lang w:val="en-US"/>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1B44F">
                          <w:pPr>
                            <w:pStyle w:val="8"/>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4291B44F">
                    <w:pPr>
                      <w:pStyle w:val="8"/>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1C207">
    <w:pPr>
      <w:pStyle w:val="8"/>
      <w:rPr>
        <w:lang w:val="en-US"/>
      </w:rP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908320">
                          <w:pPr>
                            <w:pStyle w:val="8"/>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50908320">
                    <w:pPr>
                      <w:pStyle w:val="8"/>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
    <w:p>
      <w:pPr>
        <w:spacing w:line="360" w:lineRule="auto"/>
        <w:ind w:firstLine="480"/>
      </w:pPr>
      <w:r>
        <w:separator/>
      </w:r>
    </w:p>
  </w:footnote>
  <w:footnote w:type="continuationSeparator" w:id="15">
    <w:p>
      <w:pPr>
        <w:spacing w:line="360" w:lineRule="auto"/>
        <w:ind w:firstLine="480"/>
      </w:pPr>
      <w:r>
        <w:continuationSeparator/>
      </w:r>
    </w:p>
  </w:footnote>
  <w:footnote w:id="0">
    <w:p w14:paraId="78EEF03C">
      <w:pPr>
        <w:spacing w:before="0" w:after="0" w:line="360" w:lineRule="auto"/>
        <w:ind w:firstLine="0"/>
        <w:jc w:val="both"/>
        <w:rPr>
          <w:rFonts w:hint="eastAsia" w:eastAsia="宋体"/>
          <w:lang w:val="en-US" w:eastAsia="zh-CN"/>
        </w:rPr>
      </w:pPr>
      <w:r>
        <w:rPr>
          <w:rStyle w:val="20"/>
          <w:sz w:val="18"/>
          <w:szCs w:val="18"/>
        </w:rPr>
        <w:footnoteRef/>
      </w:r>
      <w:r>
        <w:rPr>
          <w:rFonts w:hint="default"/>
          <w:sz w:val="18"/>
          <w:szCs w:val="18"/>
          <w:lang w:val="en-US"/>
        </w:rPr>
        <w:fldChar w:fldCharType="begin"/>
      </w:r>
      <w:r>
        <w:rPr>
          <w:rFonts w:hint="default"/>
          <w:sz w:val="18"/>
          <w:szCs w:val="18"/>
          <w:lang w:val="en-US"/>
        </w:rPr>
        <w:instrText xml:space="preserve"> REF _Ref32068 \h </w:instrText>
      </w:r>
      <w:r>
        <w:rPr>
          <w:rFonts w:hint="default"/>
          <w:sz w:val="18"/>
          <w:szCs w:val="18"/>
          <w:lang w:val="en-US"/>
        </w:rPr>
        <w:fldChar w:fldCharType="separate"/>
      </w:r>
      <w:r>
        <w:t>油库毕业设计指导书[Z]. 第五章“油库设计”：139-154.</w:t>
      </w:r>
      <w:r>
        <w:rPr>
          <w:rFonts w:hint="default"/>
          <w:sz w:val="18"/>
          <w:szCs w:val="18"/>
          <w:lang w:val="en-US"/>
        </w:rPr>
        <w:fldChar w:fldCharType="end"/>
      </w:r>
    </w:p>
  </w:footnote>
  <w:footnote w:id="1">
    <w:p w14:paraId="7F5918F3">
      <w:pPr>
        <w:spacing w:after="0" w:line="240" w:lineRule="auto"/>
      </w:pPr>
    </w:p>
  </w:footnote>
  <w:footnote w:id="2">
    <w:p w14:paraId="69DC2B88">
      <w:pPr>
        <w:pStyle w:val="30"/>
        <w:rPr>
          <w:sz w:val="18"/>
          <w:szCs w:val="18"/>
        </w:rPr>
      </w:pPr>
      <w:r>
        <w:rPr>
          <w:sz w:val="18"/>
          <w:szCs w:val="18"/>
          <w:vertAlign w:val="superscript"/>
        </w:rPr>
        <w:footnoteRef/>
      </w:r>
      <w:r>
        <w:rPr>
          <w:rFonts w:ascii="宋体" w:hAnsi="宋体" w:eastAsia="宋体"/>
          <w:sz w:val="18"/>
          <w:szCs w:val="18"/>
        </w:rPr>
        <w:t xml:space="preserve">  周丽君. 成品油库总图布局的注意要点分析[J]. 中国资源综合利用, 2021, 39(7): 56-58.</w:t>
      </w:r>
    </w:p>
  </w:footnote>
  <w:footnote w:id="3">
    <w:p w14:paraId="7D645995">
      <w:pPr>
        <w:pStyle w:val="30"/>
        <w:rPr>
          <w:sz w:val="18"/>
          <w:szCs w:val="18"/>
        </w:rPr>
      </w:pPr>
      <w:r>
        <w:rPr>
          <w:sz w:val="18"/>
          <w:szCs w:val="18"/>
          <w:vertAlign w:val="superscript"/>
        </w:rPr>
        <w:footnoteRef/>
      </w:r>
      <w:r>
        <w:rPr>
          <w:rFonts w:ascii="宋体" w:hAnsi="宋体" w:eastAsia="宋体"/>
          <w:sz w:val="18"/>
          <w:szCs w:val="18"/>
        </w:rPr>
        <w:t xml:space="preserve">  邢科伟, 马秀让, 刘占卿. 油库加油站设计数据图表手册[M]. 北京: 中国石化出版社, 2015: 281-283.</w:t>
      </w:r>
    </w:p>
  </w:footnote>
  <w:footnote w:id="4">
    <w:p w14:paraId="59D7037E">
      <w:pPr>
        <w:pStyle w:val="30"/>
        <w:rPr>
          <w:sz w:val="18"/>
          <w:szCs w:val="18"/>
        </w:rPr>
      </w:pPr>
      <w:r>
        <w:rPr>
          <w:sz w:val="18"/>
          <w:szCs w:val="18"/>
          <w:vertAlign w:val="superscript"/>
        </w:rPr>
        <w:footnoteRef/>
      </w:r>
      <w:r>
        <w:rPr>
          <w:rFonts w:ascii="宋体" w:hAnsi="宋体" w:eastAsia="宋体"/>
          <w:sz w:val="18"/>
          <w:szCs w:val="18"/>
        </w:rPr>
        <w:t xml:space="preserve">  GB 50074—2014《石油库设计规范》第9.2节规定: 连续输送同一种液体的泵, 同时操作的泵不多于3台时宜设1台备用泵, 多于3台时备用泵不宜多于2台.</w:t>
      </w:r>
    </w:p>
  </w:footnote>
  <w:footnote w:id="5">
    <w:p w14:paraId="5A506E5E">
      <w:pPr>
        <w:pStyle w:val="30"/>
        <w:rPr>
          <w:sz w:val="18"/>
          <w:szCs w:val="18"/>
        </w:rPr>
      </w:pPr>
      <w:r>
        <w:rPr>
          <w:sz w:val="18"/>
          <w:szCs w:val="18"/>
          <w:vertAlign w:val="superscript"/>
        </w:rPr>
        <w:footnoteRef/>
      </w:r>
      <w:r>
        <w:rPr>
          <w:rFonts w:ascii="宋体" w:hAnsi="宋体" w:eastAsia="宋体"/>
          <w:sz w:val="18"/>
          <w:szCs w:val="18"/>
        </w:rPr>
        <w:t xml:space="preserve">  油库毕业设计指导书[Z]. 第五章"油库设计", 第156页.</w:t>
      </w:r>
    </w:p>
  </w:footnote>
  <w:footnote w:id="6">
    <w:p w14:paraId="40E85E95">
      <w:pPr>
        <w:pStyle w:val="30"/>
        <w:rPr>
          <w:sz w:val="18"/>
          <w:szCs w:val="18"/>
        </w:rPr>
      </w:pPr>
      <w:r>
        <w:rPr>
          <w:sz w:val="18"/>
          <w:szCs w:val="18"/>
          <w:vertAlign w:val="superscript"/>
        </w:rPr>
        <w:footnoteRef/>
      </w:r>
      <w:r>
        <w:rPr>
          <w:rFonts w:ascii="宋体" w:hAnsi="宋体" w:eastAsia="宋体"/>
          <w:sz w:val="18"/>
          <w:szCs w:val="18"/>
        </w:rPr>
        <w:t xml:space="preserve">  邢科伟, 马秀让, 刘占卿. 油库加油站设计数据图表手册[M]. 北京: 中国石化出版社, 2015: 283-284.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969C9">
    <w:pPr>
      <w:pStyle w:val="9"/>
      <w:jc w:val="center"/>
      <w:rPr>
        <w:rFonts w:hint="eastAsia"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BE3F8">
    <w:pPr>
      <w:pStyle w:val="9"/>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C2EF9">
    <w:pPr>
      <w:pStyle w:val="9"/>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w:t>
    </w:r>
    <w:r>
      <w:rPr>
        <w:rFonts w:hint="eastAsia" w:ascii="宋体" w:hAnsi="宋体" w:cs="宋体"/>
        <w:lang w:val="en-US" w:eastAsia="zh-CN"/>
      </w:rPr>
      <w:t>7</w:t>
    </w:r>
    <w:r>
      <w:rPr>
        <w:rFonts w:hint="eastAsia" w:ascii="宋体" w:hAnsi="宋体" w:eastAsia="宋体" w:cs="宋体"/>
        <w:lang w:val="en-US" w:eastAsia="zh-CN"/>
      </w:rPr>
      <w:t>届本科生毕业设计</w:t>
    </w:r>
  </w:p>
  <w:p w14:paraId="2DF545AB">
    <w:pPr>
      <w:pStyle w:val="9"/>
      <w:rPr>
        <w:rFonts w:hint="eastAsia"/>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7DCCD">
    <w:pPr>
      <w:pStyle w:val="9"/>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D64523"/>
    <w:multiLevelType w:val="singleLevel"/>
    <w:tmpl w:val="EBD64523"/>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4"/>
    <w:footnote w:id="15"/>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kZDRjNjE4MTk3ODRlMjI0Nzg5MjhmMGEwNmJlZDMifQ=="/>
  </w:docVars>
  <w:rsids>
    <w:rsidRoot w:val="103941EB"/>
    <w:rsid w:val="002B06D1"/>
    <w:rsid w:val="00527BED"/>
    <w:rsid w:val="00824069"/>
    <w:rsid w:val="009E70F5"/>
    <w:rsid w:val="00DE7B1F"/>
    <w:rsid w:val="023169E5"/>
    <w:rsid w:val="02DE47A8"/>
    <w:rsid w:val="04954A53"/>
    <w:rsid w:val="05060B06"/>
    <w:rsid w:val="052B4CCF"/>
    <w:rsid w:val="05F92040"/>
    <w:rsid w:val="067A38E7"/>
    <w:rsid w:val="0691317E"/>
    <w:rsid w:val="077010BF"/>
    <w:rsid w:val="07B215FB"/>
    <w:rsid w:val="08072462"/>
    <w:rsid w:val="08294AF7"/>
    <w:rsid w:val="085D1690"/>
    <w:rsid w:val="087A4E0A"/>
    <w:rsid w:val="08DC43FA"/>
    <w:rsid w:val="08F203BB"/>
    <w:rsid w:val="090F115B"/>
    <w:rsid w:val="098A7634"/>
    <w:rsid w:val="09D122E9"/>
    <w:rsid w:val="09E74FFF"/>
    <w:rsid w:val="09F9288F"/>
    <w:rsid w:val="0A187F18"/>
    <w:rsid w:val="0A407D85"/>
    <w:rsid w:val="0AA92B28"/>
    <w:rsid w:val="0BB37B36"/>
    <w:rsid w:val="0C47587E"/>
    <w:rsid w:val="0C616DDD"/>
    <w:rsid w:val="0C857F09"/>
    <w:rsid w:val="0D9074CF"/>
    <w:rsid w:val="0DD904BC"/>
    <w:rsid w:val="0E77482B"/>
    <w:rsid w:val="0F274759"/>
    <w:rsid w:val="0F501F02"/>
    <w:rsid w:val="103941EB"/>
    <w:rsid w:val="106E1F77"/>
    <w:rsid w:val="11A92B9B"/>
    <w:rsid w:val="11FA6155"/>
    <w:rsid w:val="122375E8"/>
    <w:rsid w:val="123A5D65"/>
    <w:rsid w:val="12804E04"/>
    <w:rsid w:val="12865C3B"/>
    <w:rsid w:val="12EF71BC"/>
    <w:rsid w:val="1381490C"/>
    <w:rsid w:val="14740A1C"/>
    <w:rsid w:val="14D81D91"/>
    <w:rsid w:val="151439D2"/>
    <w:rsid w:val="1594152E"/>
    <w:rsid w:val="15C76E63"/>
    <w:rsid w:val="1646419B"/>
    <w:rsid w:val="167B1172"/>
    <w:rsid w:val="16BF21A1"/>
    <w:rsid w:val="171E2B79"/>
    <w:rsid w:val="17C90A93"/>
    <w:rsid w:val="17D50129"/>
    <w:rsid w:val="183F23B9"/>
    <w:rsid w:val="1A5B334B"/>
    <w:rsid w:val="1A626F8D"/>
    <w:rsid w:val="1ADC1279"/>
    <w:rsid w:val="1AEB73B7"/>
    <w:rsid w:val="1B097409"/>
    <w:rsid w:val="1B843C3F"/>
    <w:rsid w:val="1BB82AAA"/>
    <w:rsid w:val="1CAA7AEA"/>
    <w:rsid w:val="1CC22A0B"/>
    <w:rsid w:val="1CEF63EF"/>
    <w:rsid w:val="1D8D60CF"/>
    <w:rsid w:val="1D9F56A6"/>
    <w:rsid w:val="1DC35F95"/>
    <w:rsid w:val="1E287B89"/>
    <w:rsid w:val="1E2C156D"/>
    <w:rsid w:val="1E8F2A30"/>
    <w:rsid w:val="1F144C76"/>
    <w:rsid w:val="1F2F43ED"/>
    <w:rsid w:val="1FE30BF5"/>
    <w:rsid w:val="2039253E"/>
    <w:rsid w:val="20554782"/>
    <w:rsid w:val="206D09F2"/>
    <w:rsid w:val="21754D72"/>
    <w:rsid w:val="21932171"/>
    <w:rsid w:val="22F7746D"/>
    <w:rsid w:val="230D5C1C"/>
    <w:rsid w:val="2499461A"/>
    <w:rsid w:val="250848CE"/>
    <w:rsid w:val="250D55E9"/>
    <w:rsid w:val="251C1370"/>
    <w:rsid w:val="25B272E5"/>
    <w:rsid w:val="25B52667"/>
    <w:rsid w:val="26DA5E4E"/>
    <w:rsid w:val="26F469F8"/>
    <w:rsid w:val="27294DCB"/>
    <w:rsid w:val="273759F0"/>
    <w:rsid w:val="27A36AF4"/>
    <w:rsid w:val="27C022AD"/>
    <w:rsid w:val="27D330A9"/>
    <w:rsid w:val="27D80371"/>
    <w:rsid w:val="27DB07F1"/>
    <w:rsid w:val="28187A54"/>
    <w:rsid w:val="282F658A"/>
    <w:rsid w:val="2919115F"/>
    <w:rsid w:val="294D3731"/>
    <w:rsid w:val="296F5223"/>
    <w:rsid w:val="29FC2134"/>
    <w:rsid w:val="2AF4310E"/>
    <w:rsid w:val="2B0C42A3"/>
    <w:rsid w:val="2B6A5B38"/>
    <w:rsid w:val="2B7037B2"/>
    <w:rsid w:val="2B7938DE"/>
    <w:rsid w:val="2B9339F3"/>
    <w:rsid w:val="2C41519A"/>
    <w:rsid w:val="2D3B6DC2"/>
    <w:rsid w:val="2D8D11DF"/>
    <w:rsid w:val="2DD82143"/>
    <w:rsid w:val="2E003569"/>
    <w:rsid w:val="2E78370C"/>
    <w:rsid w:val="2EE06A9A"/>
    <w:rsid w:val="2F5B347D"/>
    <w:rsid w:val="30E00000"/>
    <w:rsid w:val="31520047"/>
    <w:rsid w:val="31B349CA"/>
    <w:rsid w:val="32051488"/>
    <w:rsid w:val="328E1E33"/>
    <w:rsid w:val="329675A4"/>
    <w:rsid w:val="32A724AC"/>
    <w:rsid w:val="33245EFE"/>
    <w:rsid w:val="33D910EF"/>
    <w:rsid w:val="345117AD"/>
    <w:rsid w:val="35BA34DA"/>
    <w:rsid w:val="35D0405D"/>
    <w:rsid w:val="35DF02EF"/>
    <w:rsid w:val="366A124C"/>
    <w:rsid w:val="36BA2868"/>
    <w:rsid w:val="3765585A"/>
    <w:rsid w:val="37B1595C"/>
    <w:rsid w:val="37E61084"/>
    <w:rsid w:val="37F8706F"/>
    <w:rsid w:val="380421F3"/>
    <w:rsid w:val="381A58BA"/>
    <w:rsid w:val="38223E1B"/>
    <w:rsid w:val="39D77B70"/>
    <w:rsid w:val="39E362DD"/>
    <w:rsid w:val="3A087445"/>
    <w:rsid w:val="3AD722D6"/>
    <w:rsid w:val="3AEC76B8"/>
    <w:rsid w:val="3B6756EF"/>
    <w:rsid w:val="3BA15C6B"/>
    <w:rsid w:val="3BED280B"/>
    <w:rsid w:val="3C0417FB"/>
    <w:rsid w:val="3C47643C"/>
    <w:rsid w:val="3CF17FD1"/>
    <w:rsid w:val="3D22228B"/>
    <w:rsid w:val="3D6A6963"/>
    <w:rsid w:val="3D9E74C8"/>
    <w:rsid w:val="3ED53549"/>
    <w:rsid w:val="3F21134E"/>
    <w:rsid w:val="3FA41FF6"/>
    <w:rsid w:val="4091157D"/>
    <w:rsid w:val="419E1DAA"/>
    <w:rsid w:val="421A7D7F"/>
    <w:rsid w:val="428761B5"/>
    <w:rsid w:val="43641F1E"/>
    <w:rsid w:val="436F0772"/>
    <w:rsid w:val="450A19D1"/>
    <w:rsid w:val="45300531"/>
    <w:rsid w:val="4594234D"/>
    <w:rsid w:val="47A41215"/>
    <w:rsid w:val="47AA1CA0"/>
    <w:rsid w:val="47CF53B3"/>
    <w:rsid w:val="47D01EDF"/>
    <w:rsid w:val="481A7F92"/>
    <w:rsid w:val="49705E68"/>
    <w:rsid w:val="4AB952D9"/>
    <w:rsid w:val="4AF67549"/>
    <w:rsid w:val="4B074D0A"/>
    <w:rsid w:val="4CF36A7B"/>
    <w:rsid w:val="4CF51418"/>
    <w:rsid w:val="4D06246C"/>
    <w:rsid w:val="4D21521F"/>
    <w:rsid w:val="4D3B4EC4"/>
    <w:rsid w:val="4D6D5452"/>
    <w:rsid w:val="4DA335EF"/>
    <w:rsid w:val="4E2D705C"/>
    <w:rsid w:val="4E983EB6"/>
    <w:rsid w:val="4FB54E8E"/>
    <w:rsid w:val="50380D80"/>
    <w:rsid w:val="505B00AD"/>
    <w:rsid w:val="50A6165E"/>
    <w:rsid w:val="50EF74D3"/>
    <w:rsid w:val="5139664E"/>
    <w:rsid w:val="51BD2EC4"/>
    <w:rsid w:val="5203159A"/>
    <w:rsid w:val="52BD6DD9"/>
    <w:rsid w:val="53402FC3"/>
    <w:rsid w:val="541C1C0A"/>
    <w:rsid w:val="54262873"/>
    <w:rsid w:val="55190B9F"/>
    <w:rsid w:val="558F6181"/>
    <w:rsid w:val="566A46EF"/>
    <w:rsid w:val="56C33047"/>
    <w:rsid w:val="570F409A"/>
    <w:rsid w:val="578C7028"/>
    <w:rsid w:val="589B3CED"/>
    <w:rsid w:val="598D671F"/>
    <w:rsid w:val="5A727671"/>
    <w:rsid w:val="5A8A5E5E"/>
    <w:rsid w:val="5AF9037D"/>
    <w:rsid w:val="5B1277B8"/>
    <w:rsid w:val="5C205D85"/>
    <w:rsid w:val="5C3F1B9C"/>
    <w:rsid w:val="5CA34AF9"/>
    <w:rsid w:val="5D1D6D54"/>
    <w:rsid w:val="5D542564"/>
    <w:rsid w:val="5D5F468B"/>
    <w:rsid w:val="5DD2630F"/>
    <w:rsid w:val="5EB629D1"/>
    <w:rsid w:val="5EFC04E3"/>
    <w:rsid w:val="5F726336"/>
    <w:rsid w:val="61F2727D"/>
    <w:rsid w:val="62141EE8"/>
    <w:rsid w:val="62327ECA"/>
    <w:rsid w:val="62C13CDC"/>
    <w:rsid w:val="6361115D"/>
    <w:rsid w:val="642A5BE2"/>
    <w:rsid w:val="645110EF"/>
    <w:rsid w:val="64FD6C64"/>
    <w:rsid w:val="65302F12"/>
    <w:rsid w:val="655979B3"/>
    <w:rsid w:val="664B26DE"/>
    <w:rsid w:val="665E5472"/>
    <w:rsid w:val="66B617C0"/>
    <w:rsid w:val="67CD0024"/>
    <w:rsid w:val="68235EE5"/>
    <w:rsid w:val="68B473FF"/>
    <w:rsid w:val="695C12C6"/>
    <w:rsid w:val="6A892DFE"/>
    <w:rsid w:val="6ADD7165"/>
    <w:rsid w:val="6AE352CC"/>
    <w:rsid w:val="6AE63A26"/>
    <w:rsid w:val="6AFA607C"/>
    <w:rsid w:val="6B010AEC"/>
    <w:rsid w:val="6B695F28"/>
    <w:rsid w:val="6C2660DD"/>
    <w:rsid w:val="6C523D39"/>
    <w:rsid w:val="6C5A7F9E"/>
    <w:rsid w:val="6C83566E"/>
    <w:rsid w:val="6CEF1588"/>
    <w:rsid w:val="6CFC7A9E"/>
    <w:rsid w:val="6D374CDD"/>
    <w:rsid w:val="6DCF5FA6"/>
    <w:rsid w:val="6E433F5B"/>
    <w:rsid w:val="6E4A5C33"/>
    <w:rsid w:val="6EC0117B"/>
    <w:rsid w:val="6F5E33C9"/>
    <w:rsid w:val="70486052"/>
    <w:rsid w:val="70A64653"/>
    <w:rsid w:val="719E357C"/>
    <w:rsid w:val="71BF47BE"/>
    <w:rsid w:val="726E09B6"/>
    <w:rsid w:val="72895FDA"/>
    <w:rsid w:val="72A359D6"/>
    <w:rsid w:val="732217E1"/>
    <w:rsid w:val="73A250DB"/>
    <w:rsid w:val="73C4187C"/>
    <w:rsid w:val="74292673"/>
    <w:rsid w:val="744F39DE"/>
    <w:rsid w:val="74624195"/>
    <w:rsid w:val="74A71E6F"/>
    <w:rsid w:val="750F77FD"/>
    <w:rsid w:val="753C2362"/>
    <w:rsid w:val="75A37CC5"/>
    <w:rsid w:val="75F220E9"/>
    <w:rsid w:val="763F1C89"/>
    <w:rsid w:val="76CD4696"/>
    <w:rsid w:val="76E462F3"/>
    <w:rsid w:val="77420E4E"/>
    <w:rsid w:val="774D3FF7"/>
    <w:rsid w:val="7778770E"/>
    <w:rsid w:val="7B1D660B"/>
    <w:rsid w:val="7B2E209D"/>
    <w:rsid w:val="7B4C493D"/>
    <w:rsid w:val="7CDF3F7D"/>
    <w:rsid w:val="7D204AD7"/>
    <w:rsid w:val="7D777A3E"/>
    <w:rsid w:val="7D990F20"/>
    <w:rsid w:val="7E4967CC"/>
    <w:rsid w:val="7E4A6747"/>
    <w:rsid w:val="7ED71E7C"/>
    <w:rsid w:val="7EF221E3"/>
    <w:rsid w:val="7FA67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723"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link w:val="32"/>
    <w:qFormat/>
    <w:uiPriority w:val="1"/>
    <w:pPr>
      <w:spacing w:before="100" w:beforeLines="100" w:after="100" w:afterLines="100" w:line="360" w:lineRule="auto"/>
      <w:ind w:left="760"/>
      <w:jc w:val="center"/>
      <w:outlineLvl w:val="0"/>
    </w:pPr>
    <w:rPr>
      <w:rFonts w:eastAsia="黑体"/>
      <w:b/>
      <w:bCs/>
      <w:sz w:val="32"/>
      <w:szCs w:val="32"/>
    </w:rPr>
  </w:style>
  <w:style w:type="paragraph" w:styleId="3">
    <w:name w:val="heading 2"/>
    <w:basedOn w:val="1"/>
    <w:next w:val="1"/>
    <w:unhideWhenUsed/>
    <w:qFormat/>
    <w:uiPriority w:val="0"/>
    <w:pPr>
      <w:keepNext/>
      <w:keepLines/>
      <w:spacing w:before="100" w:beforeLines="100" w:beforeAutospacing="0" w:after="100" w:afterLines="100" w:afterAutospacing="0" w:line="360" w:lineRule="auto"/>
      <w:ind w:firstLine="723" w:firstLineChars="200"/>
      <w:outlineLvl w:val="1"/>
    </w:pPr>
    <w:rPr>
      <w:rFonts w:ascii="Arial" w:hAnsi="Arial"/>
      <w:b/>
      <w:sz w:val="28"/>
    </w:rPr>
  </w:style>
  <w:style w:type="paragraph" w:styleId="4">
    <w:name w:val="heading 3"/>
    <w:basedOn w:val="1"/>
    <w:next w:val="1"/>
    <w:unhideWhenUsed/>
    <w:qFormat/>
    <w:uiPriority w:val="0"/>
    <w:pPr>
      <w:keepNext/>
      <w:keepLines/>
      <w:spacing w:beforeLines="0" w:beforeAutospacing="0" w:afterLines="0" w:afterAutospacing="0" w:line="360" w:lineRule="auto"/>
      <w:ind w:firstLine="723" w:firstLineChars="200"/>
      <w:outlineLvl w:val="2"/>
    </w:pPr>
    <w:rPr>
      <w:rFonts w:eastAsia="宋体" w:asciiTheme="minorAscii" w:hAnsiTheme="minorAscii"/>
      <w:b/>
      <w:sz w:val="24"/>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8">
    <w:name w:val="Default Paragraph Font"/>
    <w:autoRedefine/>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6">
    <w:name w:val="Body Text"/>
    <w:basedOn w:val="1"/>
    <w:link w:val="31"/>
    <w:qFormat/>
    <w:uiPriority w:val="0"/>
    <w:pPr>
      <w:spacing w:after="120"/>
    </w:pPr>
  </w:style>
  <w:style w:type="paragraph" w:styleId="7">
    <w:name w:val="Body Text Indent 2"/>
    <w:basedOn w:val="1"/>
    <w:autoRedefine/>
    <w:qFormat/>
    <w:uiPriority w:val="0"/>
    <w:pPr>
      <w:spacing w:after="120" w:line="480" w:lineRule="auto"/>
      <w:ind w:left="420" w:leftChars="200"/>
    </w:pPr>
    <w:rPr>
      <w:rFonts w:ascii="Times New Roman" w:hAnsi="Times New Roman"/>
      <w:sz w:val="32"/>
      <w:szCs w:val="24"/>
    </w:r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next w:val="1"/>
    <w:qFormat/>
    <w:uiPriority w:val="0"/>
    <w:pPr>
      <w:widowControl w:val="0"/>
      <w:spacing w:before="120" w:line="400" w:lineRule="auto"/>
      <w:jc w:val="distribute"/>
    </w:pPr>
    <w:rPr>
      <w:rFonts w:ascii="黑体" w:hAnsi="Times New Roman" w:eastAsia="黑体" w:cs="Times New Roman"/>
      <w:sz w:val="24"/>
      <w:szCs w:val="24"/>
      <w:lang w:val="en-US" w:eastAsia="zh-CN" w:bidi="ar-SA"/>
    </w:rPr>
  </w:style>
  <w:style w:type="paragraph" w:styleId="11">
    <w:name w:val="footnote text"/>
    <w:basedOn w:val="1"/>
    <w:autoRedefine/>
    <w:qFormat/>
    <w:uiPriority w:val="0"/>
    <w:pPr>
      <w:snapToGrid w:val="0"/>
    </w:pPr>
    <w:rPr>
      <w:sz w:val="18"/>
    </w:rPr>
  </w:style>
  <w:style w:type="paragraph" w:styleId="12">
    <w:name w:val="toc 2"/>
    <w:basedOn w:val="1"/>
    <w:next w:val="1"/>
    <w:autoRedefine/>
    <w:qFormat/>
    <w:uiPriority w:val="0"/>
    <w:pPr>
      <w:ind w:left="420" w:leftChars="200"/>
    </w:pPr>
  </w:style>
  <w:style w:type="paragraph" w:styleId="13">
    <w:name w:val="Normal (Web)"/>
    <w:basedOn w:val="1"/>
    <w:qFormat/>
    <w:uiPriority w:val="0"/>
    <w:pPr>
      <w:spacing w:beforeAutospacing="1" w:afterAutospacing="1"/>
    </w:pPr>
    <w:rPr>
      <w:rFonts w:cs="Times New Roman"/>
      <w:sz w:val="24"/>
      <w:lang w:val="en-US" w:bidi="ar-SA"/>
    </w:rPr>
  </w:style>
  <w:style w:type="paragraph" w:styleId="14">
    <w:name w:val="Title"/>
    <w:basedOn w:val="1"/>
    <w:qFormat/>
    <w:uiPriority w:val="0"/>
    <w:pPr>
      <w:jc w:val="center"/>
      <w:outlineLvl w:val="0"/>
    </w:pPr>
    <w:rPr>
      <w:rFonts w:ascii="Arial" w:hAnsi="Arial" w:eastAsia="黑体" w:cs="Arial"/>
      <w:b/>
      <w:bCs/>
      <w:sz w:val="36"/>
      <w:szCs w:val="32"/>
    </w:rPr>
  </w:style>
  <w:style w:type="paragraph" w:styleId="15">
    <w:name w:val="Body Text First Indent"/>
    <w:basedOn w:val="6"/>
    <w:autoRedefine/>
    <w:qFormat/>
    <w:uiPriority w:val="0"/>
    <w:pPr>
      <w:ind w:firstLine="420" w:firstLineChars="100"/>
    </w:pPr>
    <w:rPr>
      <w:rFonts w:ascii="Calibri" w:hAnsi="Calibri" w:eastAsia="宋体"/>
      <w:kern w:val="0"/>
      <w:sz w:val="20"/>
      <w:szCs w:val="20"/>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autoRedefine/>
    <w:qFormat/>
    <w:uiPriority w:val="0"/>
    <w:rPr>
      <w:color w:val="0000FF"/>
      <w:u w:val="single"/>
    </w:rPr>
  </w:style>
  <w:style w:type="character" w:styleId="20">
    <w:name w:val="footnote reference"/>
    <w:basedOn w:val="18"/>
    <w:autoRedefine/>
    <w:qFormat/>
    <w:uiPriority w:val="0"/>
    <w:rPr>
      <w:vertAlign w:val="superscript"/>
    </w:rPr>
  </w:style>
  <w:style w:type="paragraph" w:customStyle="1" w:styleId="21">
    <w:name w:val="段落"/>
    <w:basedOn w:val="1"/>
    <w:qFormat/>
    <w:uiPriority w:val="0"/>
    <w:pPr>
      <w:widowControl/>
      <w:adjustRightInd w:val="0"/>
      <w:spacing w:line="420" w:lineRule="exact"/>
      <w:ind w:firstLine="520" w:firstLineChars="200"/>
      <w:textAlignment w:val="baseline"/>
    </w:pPr>
    <w:rPr>
      <w:spacing w:val="10"/>
      <w:sz w:val="24"/>
      <w:szCs w:val="20"/>
    </w:rPr>
  </w:style>
  <w:style w:type="paragraph" w:customStyle="1" w:styleId="22">
    <w:name w:val="一级标题"/>
    <w:basedOn w:val="1"/>
    <w:next w:val="1"/>
    <w:uiPriority w:val="0"/>
    <w:pPr>
      <w:spacing w:before="100" w:beforeLines="100" w:after="100" w:afterLines="100"/>
      <w:ind w:left="0" w:firstLine="0" w:firstLineChars="0"/>
      <w:jc w:val="center"/>
      <w:outlineLvl w:val="0"/>
    </w:pPr>
    <w:rPr>
      <w:rFonts w:eastAsia="黑体"/>
      <w:b/>
      <w:bCs/>
      <w:sz w:val="32"/>
      <w:szCs w:val="32"/>
    </w:rPr>
  </w:style>
  <w:style w:type="paragraph" w:customStyle="1" w:styleId="23">
    <w:name w:val="二级标题"/>
    <w:basedOn w:val="1"/>
    <w:uiPriority w:val="0"/>
    <w:pPr>
      <w:spacing w:before="100" w:beforeLines="100" w:after="100" w:afterLines="100"/>
    </w:pPr>
    <w:rPr>
      <w:rFonts w:hint="eastAsia" w:ascii="宋体" w:hAnsi="宋体" w:cs="宋体"/>
      <w:b/>
      <w:bCs/>
      <w:color w:val="auto"/>
      <w:sz w:val="28"/>
      <w:szCs w:val="28"/>
    </w:rPr>
  </w:style>
  <w:style w:type="paragraph" w:customStyle="1" w:styleId="24">
    <w:name w:val="三级标题"/>
    <w:basedOn w:val="1"/>
    <w:uiPriority w:val="0"/>
    <w:pPr>
      <w:adjustRightInd w:val="0"/>
      <w:ind w:firstLine="602"/>
      <w:textAlignment w:val="baseline"/>
      <w:outlineLvl w:val="2"/>
    </w:pPr>
    <w:rPr>
      <w:rFonts w:hint="eastAsia" w:ascii="宋体" w:hAnsi="宋体" w:cs="宋体"/>
      <w:b/>
      <w:bCs/>
      <w:color w:val="auto"/>
      <w:spacing w:val="10"/>
    </w:rPr>
  </w:style>
  <w:style w:type="paragraph" w:customStyle="1" w:styleId="25">
    <w:name w:val="图/表注"/>
    <w:basedOn w:val="1"/>
    <w:uiPriority w:val="0"/>
    <w:pPr>
      <w:widowControl/>
      <w:ind w:firstLine="480"/>
      <w:jc w:val="center"/>
    </w:pPr>
    <w:rPr>
      <w:rFonts w:ascii="Times New Roman" w:hAnsi="Times New Roman" w:eastAsia="宋体" w:cs="Times New Roman"/>
      <w:b/>
      <w:sz w:val="22"/>
    </w:rPr>
  </w:style>
  <w:style w:type="paragraph" w:customStyle="1" w:styleId="26">
    <w:name w:val="主要参考文献"/>
    <w:basedOn w:val="1"/>
    <w:link w:val="27"/>
    <w:uiPriority w:val="0"/>
    <w:pPr>
      <w:adjustRightInd w:val="0"/>
      <w:snapToGrid w:val="0"/>
      <w:spacing w:before="60" w:line="320" w:lineRule="exact"/>
      <w:ind w:left="420" w:leftChars="200" w:firstLine="0" w:firstLineChars="0"/>
    </w:pPr>
    <w:rPr>
      <w:rFonts w:hint="eastAsia" w:ascii="Times New Roman" w:hAnsi="Times New Roman" w:eastAsia="宋体" w:cs="Times New Roman"/>
      <w:color w:val="auto"/>
      <w:sz w:val="21"/>
      <w:szCs w:val="21"/>
    </w:rPr>
  </w:style>
  <w:style w:type="character" w:customStyle="1" w:styleId="27">
    <w:name w:val="主要参考文献 Char"/>
    <w:link w:val="26"/>
    <w:uiPriority w:val="0"/>
    <w:rPr>
      <w:rFonts w:hint="eastAsia" w:ascii="Times New Roman" w:hAnsi="Times New Roman" w:eastAsia="宋体" w:cs="Times New Roman"/>
      <w:color w:val="auto"/>
      <w:sz w:val="21"/>
      <w:szCs w:val="21"/>
    </w:rPr>
  </w:style>
  <w:style w:type="paragraph" w:customStyle="1" w:styleId="28">
    <w:name w:val="2Heading"/>
    <w:qFormat/>
    <w:uiPriority w:val="0"/>
    <w:pPr>
      <w:spacing w:after="200" w:line="276" w:lineRule="auto"/>
    </w:pPr>
    <w:rPr>
      <w:rFonts w:ascii="黑体" w:hAnsi="黑体" w:eastAsiaTheme="minorEastAsia" w:cstheme="minorBidi"/>
      <w:b/>
      <w:sz w:val="32"/>
      <w:szCs w:val="22"/>
      <w:lang w:val="en-US" w:eastAsia="en-US" w:bidi="ar-SA"/>
    </w:rPr>
  </w:style>
  <w:style w:type="character" w:customStyle="1" w:styleId="29">
    <w:name w:val="FootnoteReference"/>
    <w:qFormat/>
    <w:uiPriority w:val="0"/>
    <w:rPr>
      <w:sz w:val="18"/>
      <w:vertAlign w:val="superscript"/>
    </w:rPr>
  </w:style>
  <w:style w:type="paragraph" w:customStyle="1" w:styleId="30">
    <w:name w:val="FootnoteText"/>
    <w:qFormat/>
    <w:uiPriority w:val="0"/>
    <w:pPr>
      <w:spacing w:after="200" w:line="276" w:lineRule="auto"/>
    </w:pPr>
    <w:rPr>
      <w:rFonts w:ascii="宋体" w:hAnsi="宋体" w:eastAsiaTheme="minorEastAsia" w:cstheme="minorBidi"/>
      <w:sz w:val="18"/>
      <w:szCs w:val="22"/>
      <w:lang w:val="en-US" w:eastAsia="en-US" w:bidi="ar-SA"/>
    </w:rPr>
  </w:style>
  <w:style w:type="character" w:customStyle="1" w:styleId="31">
    <w:name w:val="正文文本 Char"/>
    <w:link w:val="6"/>
    <w:uiPriority w:val="0"/>
  </w:style>
  <w:style w:type="character" w:customStyle="1" w:styleId="32">
    <w:name w:val="标题 1 Char"/>
    <w:link w:val="2"/>
    <w:uiPriority w:val="1"/>
    <w:rPr>
      <w:rFonts w:eastAsia="黑体"/>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13830</Words>
  <Characters>16304</Characters>
  <Lines>0</Lines>
  <Paragraphs>0</Paragraphs>
  <TotalTime>1</TotalTime>
  <ScaleCrop>false</ScaleCrop>
  <LinksUpToDate>false</LinksUpToDate>
  <CharactersWithSpaces>16777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2022-06-14T08:37:00Z</dcterms:created>
  <dc:creator>HUAWEI</dc:creator>
  <cp:lastModifiedBy>WPS_1745382907</cp:lastModifiedBy>
  <cp:lastPrinted>2023-05-06T08:23:00Z</cp:lastPrinted>
  <dcterms:modified xsi:type="dcterms:W3CDTF">2026-07-20T09:18:01Z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AB0253D97936420E9FB277831BD97C3D_13</vt:lpwstr>
  </property>
  <property fmtid="{D5CDD505-2E9C-101B-9397-08002B2CF9AE}" pid="4" name="KSOTemplateDocerSaveRecord">
    <vt:lpwstr>eyJoZGlkIjoiMGI2MjU2OTI0MDI1ZDliNTNkYjNiNDk3NTBmYzkxYTYiLCJ1c2VySWQiOiIxNjk1NTQ5MjM3In0=</vt:lpwstr>
  </property>
</Properties>
</file>